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031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0313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Conlin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FLUENT,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VESEY STREET,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Fluent,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5,000</w:t>
            </w:r>
          </w:p>
        </w:tc>
        <w:tc>
          <w:tcPr>
            <w:tcW w:w="5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2,468,677</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Conlin</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441,331</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333,334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RSMC</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2017</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60,175</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Conlin</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Shakra</w:t>
      </w:r>
    </w:p>
    <w:p>
      <w:pPr>
        <w:spacing w:after="0" w:line="1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Co-Trustee of the Conlin Family Trust and in such capacity has the shared right to vote and dispose of the securities held by such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RSMC Partners, LLC.</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ownership of these securities and this report shall not be deemed an admission that the Reporting Person owns such securities for purposes of Section 16 or for other purposes.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Conlin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06/02/2026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660879" TargetMode="External"/><Relationship Id="rId14" Type="http://schemas.openxmlformats.org/officeDocument/2006/relationships/hyperlink" Target="http://www.sec.gov/cgi-bin/browse-edgar?action=getcompany&amp;CIK=000146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2026-06-02T08:03:32Z</dcterms:created>
  <dcterms:modified xsi:type="dcterms:W3CDTF">2026-06-02T08:03:32Z</dcterms:modified>
</cp:coreProperties>
</file>