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center"/>
        <w:rPr>
          <w:rFonts w:ascii="Times New Roman" w:hAnsi="Times New Roman"/>
          <w:caps w:val="false"/>
          <w:smallCaps w:val="false"/>
          <w:sz w:val="20"/>
        </w:rPr>
      </w:pPr>
      <w:bookmarkStart w:id="0" w:name="flnt20260814_s8.htm"/>
      <w:bookmarkStart w:id="1" w:name="ksflnt20260814_s8"/>
      <w:bookmarkEnd w:id="0"/>
      <w:bookmarkEnd w:id="1"/>
      <w:r>
        <w:rPr>
          <w:rFonts w:ascii="Times New Roman" w:hAnsi="Times New Roman"/>
          <w:b/>
          <w:caps w:val="false"/>
          <w:smallCaps w:val="false"/>
          <w:sz w:val="20"/>
        </w:rPr>
        <w:t>As filed with the Securities and Exchange Commission on September 1,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rFonts w:ascii="Times New Roman" w:hAnsi="Times New Roman"/>
          <w:b/>
          <w:caps w:val="false"/>
          <w:smallCaps w:val="false"/>
          <w:sz w:val="20"/>
        </w:rPr>
        <w:t>Registration No. 333-</w:t>
      </w:r>
      <w:r>
        <w:rPr>
          <w:rFonts w:ascii="Times New Roman" w:hAnsi="Times New Roman"/>
          <w:caps w:val="false"/>
          <w:smallCaps w:val="false"/>
          <w:sz w:val="20"/>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xml:space="preserve"> </w:t>
      </w:r>
      <w:r>
        <w:rPr>
          <w:rFonts w:ascii="Times New Roman" w:hAnsi="Times New Roman"/>
          <w:b/>
          <w:caps w:val="false"/>
          <w:smallCaps w:val="false"/>
          <w:sz w:val="20"/>
        </w:rPr>
        <w:t>S-8</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REGISTRATION STATEMENT UNDER THE SECURITIES ACT OF 1933</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xml:space="preserve">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28" w:type="dxa"/>
          <w:right w:w="0" w:type="dxa"/>
        </w:tblCellMar>
      </w:tblPr>
      <w:tblGrid>
        <w:gridCol w:w="248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77-0688094</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300 Vesey Street, 9th Floor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New York, New York 10282</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2022 Omnibus Equity Incentive Plan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Donald Patrick</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Chief Executive Officer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300 Vesey Street, 9th Floor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New York, NY 10282</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(646) 669-7272</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John D. Tishler, Esq.</w:t>
      </w:r>
      <w:r>
        <w:rPr>
          <w:rFonts w:ascii="Times New Roman" w:hAnsi="Times New Roman"/>
          <w:caps w:val="false"/>
          <w:smallCaps w:val="false"/>
          <w:sz w:val="20"/>
        </w:rPr>
        <w:t> </w:t>
        <w:br/>
      </w:r>
      <w:r>
        <w:rPr>
          <w:rFonts w:ascii="Times New Roman" w:hAnsi="Times New Roman"/>
          <w:b/>
          <w:caps w:val="false"/>
          <w:smallCaps w:val="false"/>
          <w:sz w:val="20"/>
        </w:rPr>
        <w:t>Nazia J. Khan, Esq.</w:t>
      </w:r>
      <w:r>
        <w:rPr>
          <w:rFonts w:ascii="Times New Roman" w:hAnsi="Times New Roman"/>
          <w:caps w:val="false"/>
          <w:smallCaps w:val="false"/>
          <w:sz w:val="20"/>
        </w:rPr>
        <w:t> </w:t>
        <w:br/>
      </w:r>
      <w:r>
        <w:rPr>
          <w:rFonts w:ascii="Times New Roman" w:hAnsi="Times New Roman"/>
          <w:b/>
          <w:caps w:val="false"/>
          <w:smallCaps w:val="false"/>
          <w:sz w:val="20"/>
        </w:rPr>
        <w:t>Sheppard, Mullin, Richter &amp; Hampton LLP</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12275 El Camino Real, Suite 100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San Diego, CA 92130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Tel: (858) 720-8943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050" w:type="dxa"/>
            <w:gridSpan w:val="2"/>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EXPLANATORY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Fluent, Inc. (the “Company”) is filing this Registration Statement on Form S-8 (the “Registration Statement”) for the purpose of registering additional shares of our common stock, par value $0.0005 per share (the “Common Stock”), under the Fluent, Inc. 2022 Omnibus Equity Incentive Plan (as amended, the “2022 Plan”). On June 17, 2026, the Company’s stockholders approved an amendment to the 2022 Plan to increase the number of shares reserved for issuance thereunder to 5,566,666 shares from 3,666,666 shares (the “Plan Amendment”). As such, this Registration Statement registers 1,900,000 additional shares of Common Stock available for issuance under the 2022 Plan as a result of the approval of the Plan Amendment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previously filed with the Securities and Exchange Commission (the “SEC”) registration statements on Form S-8 on August 10, 2022 (File No. </w:t>
      </w:r>
      <w:hyperlink r:id="rId2">
        <w:r>
          <w:rPr>
            <w:rStyle w:val="InternetLink"/>
            <w:rFonts w:ascii="Times New Roman" w:hAnsi="Times New Roman"/>
            <w:caps w:val="false"/>
            <w:smallCaps w:val="false"/>
            <w:sz w:val="20"/>
            <w:u w:val="single"/>
          </w:rPr>
          <w:t>333-266743</w:t>
        </w:r>
      </w:hyperlink>
      <w:r>
        <w:rPr>
          <w:rFonts w:ascii="Times New Roman" w:hAnsi="Times New Roman"/>
          <w:caps w:val="false"/>
          <w:smallCaps w:val="false"/>
          <w:sz w:val="20"/>
        </w:rPr>
        <w:t xml:space="preserve">) and on September 15, 2025 (File No. </w:t>
      </w:r>
      <w:hyperlink r:id="rId3">
        <w:r>
          <w:rPr>
            <w:rStyle w:val="InternetLink"/>
            <w:rFonts w:ascii="Times New Roman" w:hAnsi="Times New Roman"/>
            <w:caps w:val="false"/>
            <w:smallCaps w:val="false"/>
            <w:sz w:val="20"/>
            <w:u w:val="single"/>
          </w:rPr>
          <w:t>333-290272</w:t>
        </w:r>
      </w:hyperlink>
      <w:r>
        <w:rPr>
          <w:rFonts w:ascii="Times New Roman" w:hAnsi="Times New Roman"/>
          <w:caps w:val="false"/>
          <w:smallCaps w:val="false"/>
          <w:sz w:val="20"/>
        </w:rPr>
        <w:t>) (the “Prior Registration Statements”) registering shares of Common Stock issuable under the 2022 Plan. This Registration Statement relates to securities of the same class as those to which the Prior Registration Statements relate, and is submitted in accordance with General Instruction E to Form S-8 regarding registration of additional securities. Pursuant to General Instruction E of Form S-8, the contents of the Prior Registration Statements are incorporated herein by reference and made part of this Registration Statement, except for Items 3 and 8, which are being updated by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xml:space="preserve"> </w:t>
      </w:r>
      <w:r>
        <w:rPr>
          <w:rFonts w:ascii="Times New Roman" w:hAnsi="Times New Roman"/>
          <w:b/>
          <w:caps w:val="false"/>
          <w:smallCaps w:val="false"/>
          <w:sz w:val="20"/>
        </w:rPr>
        <w:t>II</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INFORMATION REQUIRED IN THE REGISTRATION STATEMENT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3. INCORPORATION OF DOCUMENTS BY REFERENCE.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filed by us with the SEC pursuant to the Securities Act of 1933, as amended, and the Securities Exchange Act of 1934, as amended (the “Exchange Act”),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Company’s Annual Report on </w:t>
            </w:r>
            <w:hyperlink r:id="rId4">
              <w:r>
                <w:rPr>
                  <w:rStyle w:val="InternetLink"/>
                  <w:rFonts w:ascii="Times New Roman" w:hAnsi="Times New Roman"/>
                  <w:caps w:val="false"/>
                  <w:smallCaps w:val="false"/>
                  <w:sz w:val="20"/>
                  <w:u w:val="single"/>
                </w:rPr>
                <w:t>Form 10-K</w:t>
              </w:r>
            </w:hyperlink>
            <w:r>
              <w:rPr>
                <w:rFonts w:ascii="Times New Roman" w:hAnsi="Times New Roman"/>
                <w:caps w:val="false"/>
                <w:smallCaps w:val="false"/>
                <w:sz w:val="20"/>
              </w:rPr>
              <w:t xml:space="preserve"> for the fiscal year ended December 31, 2025, filed with the SEC on March 31, 2026, as amended by the </w:t>
            </w:r>
            <w:hyperlink r:id="rId5">
              <w:r>
                <w:rPr>
                  <w:rStyle w:val="InternetLink"/>
                  <w:rFonts w:ascii="Times New Roman" w:hAnsi="Times New Roman"/>
                  <w:caps w:val="false"/>
                  <w:smallCaps w:val="false"/>
                  <w:sz w:val="20"/>
                  <w:u w:val="single"/>
                </w:rPr>
                <w:t>Form 10-K/A</w:t>
              </w:r>
            </w:hyperlink>
            <w:r>
              <w:rPr>
                <w:rFonts w:ascii="Times New Roman" w:hAnsi="Times New Roman"/>
                <w:caps w:val="false"/>
                <w:smallCaps w:val="false"/>
                <w:sz w:val="20"/>
              </w:rPr>
              <w:t> filed with the SEC on April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Company’s Quarterly Reports on Form 10-Q for the quarters ended </w:t>
            </w:r>
            <w:hyperlink r:id="rId6">
              <w:r>
                <w:rPr>
                  <w:rStyle w:val="InternetLink"/>
                  <w:rFonts w:ascii="Times New Roman" w:hAnsi="Times New Roman"/>
                  <w:caps w:val="false"/>
                  <w:smallCaps w:val="false"/>
                  <w:sz w:val="20"/>
                  <w:u w:val="single"/>
                </w:rPr>
                <w:t>March 31, 2026</w:t>
              </w:r>
            </w:hyperlink>
            <w:r>
              <w:rPr>
                <w:rFonts w:ascii="Times New Roman" w:hAnsi="Times New Roman"/>
                <w:caps w:val="false"/>
                <w:smallCaps w:val="false"/>
                <w:sz w:val="20"/>
              </w:rPr>
              <w:t xml:space="preserve"> and </w:t>
            </w:r>
            <w:hyperlink r:id="rId7">
              <w:r>
                <w:rPr>
                  <w:rStyle w:val="InternetLink"/>
                  <w:rFonts w:ascii="Times New Roman" w:hAnsi="Times New Roman"/>
                  <w:caps w:val="false"/>
                  <w:smallCaps w:val="false"/>
                  <w:sz w:val="20"/>
                </w:rPr>
                <w:t>June 30, 2026</w:t>
              </w:r>
            </w:hyperlink>
            <w:r>
              <w:rPr>
                <w:rFonts w:ascii="Times New Roman" w:hAnsi="Times New Roman"/>
                <w:caps w:val="false"/>
                <w:smallCaps w:val="false"/>
                <w:sz w:val="20"/>
              </w:rPr>
              <w:t>, filed with the SEC on May 13, 2026 and August 13, 2026,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Company’s Current Reports on Form 8-K (excluding any reports or portions thereof that are deemed to be furnished and not filed) filed with the SEC on </w:t>
            </w:r>
            <w:hyperlink r:id="rId8">
              <w:r>
                <w:rPr>
                  <w:rStyle w:val="InternetLink"/>
                  <w:rFonts w:ascii="Times New Roman" w:hAnsi="Times New Roman"/>
                  <w:caps w:val="false"/>
                  <w:smallCaps w:val="false"/>
                  <w:sz w:val="20"/>
                  <w:u w:val="single"/>
                </w:rPr>
                <w:t>February 5, 2026</w:t>
              </w:r>
            </w:hyperlink>
            <w:r>
              <w:rPr>
                <w:rFonts w:ascii="Times New Roman" w:hAnsi="Times New Roman"/>
                <w:caps w:val="false"/>
                <w:smallCaps w:val="false"/>
                <w:sz w:val="20"/>
              </w:rPr>
              <w:t xml:space="preserve"> and </w:t>
            </w:r>
            <w:hyperlink r:id="rId9">
              <w:r>
                <w:rPr>
                  <w:rStyle w:val="InternetLink"/>
                  <w:rFonts w:ascii="Times New Roman" w:hAnsi="Times New Roman"/>
                  <w:caps w:val="false"/>
                  <w:smallCaps w:val="false"/>
                  <w:sz w:val="20"/>
                  <w:u w:val="single"/>
                </w:rPr>
                <w:t>June 18,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592" w:type="dxa"/>
        <w:jc w:val="left"/>
        <w:tblInd w:w="0" w:type="dxa"/>
        <w:tblLayout w:type="fixed"/>
        <w:tblCellMar>
          <w:top w:w="28" w:type="dxa"/>
          <w:left w:w="28" w:type="dxa"/>
          <w:bottom w:w="28" w:type="dxa"/>
          <w:right w:w="28" w:type="dxa"/>
        </w:tblCellMar>
      </w:tblPr>
      <w:tblGrid>
        <w:gridCol w:w="271"/>
        <w:gridCol w:w="7321"/>
      </w:tblGrid>
      <w:tr>
        <w:trPr/>
        <w:tc>
          <w:tcPr>
            <w:tcW w:w="271"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definitive proxy statement on </w:t>
            </w:r>
            <w:hyperlink r:id="rId10">
              <w:r>
                <w:rPr>
                  <w:rStyle w:val="InternetLink"/>
                  <w:rFonts w:ascii="Times New Roman" w:hAnsi="Times New Roman"/>
                  <w:caps w:val="false"/>
                  <w:smallCaps w:val="false"/>
                  <w:sz w:val="20"/>
                  <w:u w:val="single"/>
                </w:rPr>
                <w:t>Schedule 14A</w:t>
              </w:r>
            </w:hyperlink>
            <w:r>
              <w:rPr>
                <w:rFonts w:ascii="Times New Roman" w:hAnsi="Times New Roman"/>
                <w:caps w:val="false"/>
                <w:smallCaps w:val="false"/>
                <w:sz w:val="20"/>
              </w:rPr>
              <w:t> filed with the SEC on May 6,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the description of our Common Stock contained in our Registration Statement on Form 8-A filed with the SEC on September 26, 2016</w:t>
              </w:r>
            </w:hyperlink>
            <w:r>
              <w:rPr>
                <w:rFonts w:ascii="Times New Roman" w:hAnsi="Times New Roman"/>
                <w:caps w:val="false"/>
                <w:smallCaps w:val="false"/>
                <w:sz w:val="20"/>
              </w:rPr>
              <w:t>, including any amendments and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all documents we subsequently file pursuant to Sections 13(a), 13(c), 14 and 15(d) of the Exchange Act (other than Current Reports furnished under Item 2.02 or Item 7.01 of Form 8-K and exhibits furnished on such form that relate to such items), after the date of this Registration Statement and prior to the filing of a post-effective amendment which indicates that all securities offered have been sold or which deregisters all securities then remaining unsold, shall be deemed to be incorporated by reference into this Registration Statement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provide to you, upon request, a copy of each of our filings at no cost. Please make your request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Fluent,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Attn: Legal Department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300 Vesey Street, 9th Floor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York, NY 10282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 (646) 669-7272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xml:space="preserve"> </w:t>
      </w:r>
      <w:r>
        <w:rPr>
          <w:rFonts w:ascii="Times New Roman" w:hAnsi="Times New Roman"/>
          <w:b/>
          <w:caps w:val="false"/>
          <w:smallCaps w:val="false"/>
          <w:sz w:val="20"/>
        </w:rPr>
        <w:t>INDEX</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u w:val="single"/>
                </w:rPr>
                <w:t>Form of Common Stock Certificate (incorporated by reference to Exhibit 4.1 of our Current Report on Form 8-K filed April 16, 2018)</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1010835.htm">
              <w:r>
                <w:rPr>
                  <w:rStyle w:val="InternetLink"/>
                  <w:rFonts w:ascii="Times New Roman" w:hAnsi="Times New Roman"/>
                  <w:caps w:val="false"/>
                  <w:smallCaps w:val="false"/>
                  <w:sz w:val="20"/>
                </w:rPr>
                <w:t>Opinion of Sheppard, Mullin, Richter &amp; Hampton LLP</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u w:val="single"/>
                </w:rPr>
                <w:t>Fluent, Inc. 2022 Omnibus Equity Incentive Plan (incorporated by reference to Exhibit 10.1 to our Current Report on Form 8-K filed on June 10, 2022)</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u w:val="single"/>
                </w:rPr>
                <w:t>Amendment No. 1 to the Fluent, Inc. 2022 Omnibus Equity Incentive Plan (incorporated by reference to Appendix A to our definitive proxy statement on Schedule 14A filed with the SEC on April 25, 2025)</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u w:val="single"/>
                </w:rPr>
                <w:t>Amendment No. 2 to the Fluent, Inc. 2022 Omnibus Equity Incentive Plan (incorporated by reference to Exhibit 10.2 to our Quarterly Report on Form 10-Q filed with the SEC on August 13, 2026)</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u w:val="single"/>
                </w:rPr>
                <w:t>Form of Restricted Stock Unit Award Grant Notice (2022 Omnibus Equity Incentive Plan) (incorporated by reference to Exhibit 10.1 to our Quarterly Report on Form 10-Q, filed August 13, 2026)</w:t>
              </w:r>
            </w:hyperlink>
            <w:r>
              <w:rPr>
                <w:rFonts w:ascii="Times New Roman" w:hAnsi="Times New Roman"/>
                <w:caps w:val="false"/>
                <w:smallCaps w:val="false"/>
                <w:sz w:val="20"/>
              </w:rPr>
              <w:t> </w:t>
            </w:r>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u w:val="single"/>
                </w:rPr>
                <w:t>Form of Restricted Stock Unit Award Grant Notice (2022 Long Term Incentive Plan) (incorporated by reference to Exhibit 10.2 to the Company’s Quarterly Report on Form 10-Q, filed August 21, 2023)</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r:id="rId18">
              <w:r>
                <w:rPr>
                  <w:rStyle w:val="InternetLink"/>
                  <w:rFonts w:ascii="Times New Roman" w:hAnsi="Times New Roman"/>
                  <w:caps w:val="false"/>
                  <w:smallCaps w:val="false"/>
                  <w:sz w:val="20"/>
                  <w:u w:val="single"/>
                </w:rPr>
                <w:t>Form of 2022 Performance Share Unit Agreement (2022 Omnibus Equity Incentive Plan) (incorporated by reference to Exhibit 10.4 to our Quarterly Report on Form 10-Q, filed August 21, 2023)</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u w:val="single"/>
                </w:rPr>
                <w:t>Form of Stock Option Grant Notice and Option Agreement (2022 Omnibus Equity Incentive Plan) (incorporated by reference to Exhibit 10.5 to our Quarterly Report on Form 10-Q, filed August 21, 2023)</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1011320.htm">
              <w:r>
                <w:rPr>
                  <w:rStyle w:val="InternetLink"/>
                  <w:rFonts w:ascii="Times New Roman" w:hAnsi="Times New Roman"/>
                  <w:caps w:val="false"/>
                  <w:smallCaps w:val="false"/>
                  <w:sz w:val="20"/>
                </w:rPr>
                <w:t>Consent of Grant Thornton, LLP</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1010835.htm">
              <w:r>
                <w:rPr>
                  <w:rStyle w:val="InternetLink"/>
                  <w:rFonts w:ascii="Times New Roman" w:hAnsi="Times New Roman"/>
                  <w:caps w:val="false"/>
                  <w:smallCaps w:val="false"/>
                  <w:sz w:val="20"/>
                </w:rPr>
                <w:t>Consent of Sheppard, Mullin, Richter &amp; Hampton LLP (included in Exhibit 5.1)</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poa">
              <w:r>
                <w:rPr>
                  <w:rStyle w:val="InternetLink"/>
                  <w:rFonts w:ascii="Times New Roman" w:hAnsi="Times New Roman"/>
                  <w:caps w:val="false"/>
                  <w:smallCaps w:val="false"/>
                  <w:sz w:val="20"/>
                </w:rPr>
                <w:t>Power of Attorney (included on signature page)</w:t>
              </w:r>
            </w:hyperlink>
          </w:p>
        </w:tc>
      </w:tr>
      <w:tr>
        <w:trPr/>
        <w:tc>
          <w:tcPr>
            <w:tcW w:w="71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1005318.htm">
              <w:r>
                <w:rPr>
                  <w:rStyle w:val="InternetLink"/>
                  <w:rFonts w:ascii="Times New Roman" w:hAnsi="Times New Roman"/>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125"/>
        <w:gridCol w:w="60"/>
        <w:gridCol w:w="1190"/>
      </w:tblGrid>
      <w:tr>
        <w:trPr/>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0"/>
              <w:ind w:left="0" w:right="0" w:hanging="0"/>
              <w:jc w:val="left"/>
              <w:rPr/>
            </w:pPr>
            <w:r>
              <w:rPr/>
              <w:t> </w:t>
            </w:r>
          </w:p>
        </w:tc>
        <w:tc>
          <w:tcPr>
            <w:tcW w:w="1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1st day of September 2026.</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320"/>
        <w:gridCol w:w="2345"/>
      </w:tblGrid>
      <w:tr>
        <w:trPr/>
        <w:tc>
          <w:tcPr>
            <w:tcW w:w="60" w:type="dxa"/>
            <w:tcBorders/>
            <w:vAlign w:val="center"/>
          </w:tcPr>
          <w:p>
            <w:pPr>
              <w:pStyle w:val="TableContents"/>
              <w:bidi w:val="0"/>
              <w:spacing w:before="0" w:after="0"/>
              <w:ind w:left="0" w:right="0" w:hanging="0"/>
              <w:jc w:val="left"/>
              <w:rPr/>
            </w:pPr>
            <w:r>
              <w:rPr/>
              <w:t> </w:t>
            </w:r>
          </w:p>
        </w:tc>
        <w:tc>
          <w:tcPr>
            <w:tcW w:w="2665"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Fluent, Inc.</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34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Donald Patrick</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Donald Patrick</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bookmarkStart w:id="2" w:name="poa"/>
      <w:bookmarkEnd w:id="2"/>
      <w:r>
        <w:rPr>
          <w:rFonts w:ascii="Times New Roman" w:hAnsi="Times New Roman"/>
          <w:b/>
          <w:caps w:val="false"/>
          <w:smallCaps w:val="false"/>
          <w:sz w:val="20"/>
        </w:rPr>
        <w:t>POWER OF ATTORNEY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does hereby constitute and appoint Donald Patrick, with full power of substitution, his or her true and lawful attorney-in-fact to act for him or her in any and all capacities, to sign any and all amendments (including post-effective amendments) to this Registration Statement, and to file each of the same, with all exhibits thereto, and other documents in connection therewith, with the Securities and Exchange Commission, granting unto said attorney-in-fact full power and authority to do and perform each and every act and thing requisite and necessary to be done in order to effectuate the same as fully, to all intents and purposes, as he or she could do in person, hereby ratifying and confirming all that said attorneys-in-fact or substitutes, or any of them,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this Registration Statement has been signed below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28" w:type="dxa"/>
          <w:right w:w="0" w:type="dxa"/>
        </w:tblCellMar>
      </w:tblPr>
      <w:tblGrid>
        <w:gridCol w:w="1775"/>
        <w:gridCol w:w="60"/>
        <w:gridCol w:w="2975"/>
        <w:gridCol w:w="60"/>
        <w:gridCol w:w="1535"/>
      </w:tblGrid>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Donald Patrick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Donald Patrick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Ryan Perfit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Ryan Perfit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and Accounting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Ryan Schulke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Chairman and Chief Strategy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Ryan Schulke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Matthew Conlin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Customer Officer and 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Matthew Conlin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Don Mathis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Don Mathis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Barbara Kohn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Barbara Kohn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David Graff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 Graff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Richard Pfenniger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Richard Pfenniger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775" w:type="dxa"/>
            <w:tcBorders>
              <w:bottom w:val="single" w:sz="2" w:space="0" w:color="000000"/>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 James P. Geygan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1, 2026</w:t>
            </w:r>
          </w:p>
        </w:tc>
      </w:tr>
      <w:tr>
        <w:trPr/>
        <w:tc>
          <w:tcPr>
            <w:tcW w:w="17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James P. Geygan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- 4 -</w:t>
      </w:r>
    </w:p>
    <w:p>
      <w:pPr>
        <w:pStyle w:val="TextBody"/>
        <w:bidi w:val="0"/>
        <w:spacing w:before="0" w:after="0"/>
        <w:ind w:left="0" w:right="0" w:hanging="0"/>
        <w:jc w:val="right"/>
        <w:rPr>
          <w:rFonts w:ascii="Times New Roman;Times;serif" w:hAnsi="Times New Roman;Times;serif"/>
          <w:b/>
          <w:sz w:val="20"/>
        </w:rPr>
      </w:pPr>
      <w:bookmarkStart w:id="3" w:name="ex_1010835.htm"/>
      <w:bookmarkStart w:id="4" w:name="ksex_1010835"/>
      <w:bookmarkEnd w:id="3"/>
      <w:bookmarkEnd w:id="4"/>
      <w:r>
        <w:rPr>
          <w:rFonts w:ascii="Times New Roman;Times;serif" w:hAnsi="Times New Roman;Times;serif"/>
          <w:b/>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5832" w:type="dxa"/>
        <w:jc w:val="left"/>
        <w:tblInd w:w="0" w:type="dxa"/>
        <w:tblLayout w:type="fixed"/>
        <w:tblCellMar>
          <w:top w:w="28" w:type="dxa"/>
          <w:left w:w="28" w:type="dxa"/>
          <w:bottom w:w="28" w:type="dxa"/>
          <w:right w:w="28" w:type="dxa"/>
        </w:tblCellMar>
      </w:tblPr>
      <w:tblGrid>
        <w:gridCol w:w="2666"/>
        <w:gridCol w:w="3166"/>
      </w:tblGrid>
      <w:tr>
        <w:trPr/>
        <w:tc>
          <w:tcPr>
            <w:tcW w:w="2666" w:type="dxa"/>
            <w:tcBorders/>
            <w:vAlign w:val="center"/>
          </w:tcPr>
          <w:p>
            <w:pPr>
              <w:pStyle w:val="TableContents"/>
              <w:bidi w:val="0"/>
              <w:spacing w:before="0" w:after="0"/>
              <w:ind w:left="0" w:right="0" w:hanging="0"/>
              <w:jc w:val="left"/>
              <w:rPr/>
            </w:pPr>
            <w:r>
              <w:rPr/>
              <w:drawing>
                <wp:inline distT="0" distB="0" distL="0" distR="0">
                  <wp:extent cx="16287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1628775" cy="638175"/>
                          </a:xfrm>
                          <a:prstGeom prst="rect">
                            <a:avLst/>
                          </a:prstGeom>
                        </pic:spPr>
                      </pic:pic>
                    </a:graphicData>
                  </a:graphic>
                </wp:inline>
              </w:drawing>
            </w:r>
          </w:p>
        </w:tc>
        <w:tc>
          <w:tcPr>
            <w:tcW w:w="3166"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Sheppard, Mullin, Richter &amp; Hampton LLP</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12275 El Camino Real </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San Diego, CA 92130-4092</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858.720.8900 main</w:t>
            </w:r>
          </w:p>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858.509.3691 fax</w:t>
            </w:r>
          </w:p>
          <w:p>
            <w:pPr>
              <w:pStyle w:val="TableContents"/>
              <w:bidi w:val="0"/>
              <w:spacing w:before="0" w:after="0"/>
              <w:ind w:left="0" w:right="0" w:hanging="0"/>
              <w:jc w:val="left"/>
              <w:rPr>
                <w:rFonts w:ascii="Times New Roman" w:hAnsi="Times New Roman"/>
                <w:sz w:val="16"/>
              </w:rPr>
            </w:pPr>
            <w:r>
              <w:rPr>
                <w:rFonts w:ascii="Times New Roman" w:hAnsi="Times New Roman"/>
                <w:sz w:val="16"/>
              </w:rPr>
              <w:t>www.sheppard.com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VIA ELECTRONIC MAIL</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Fluent,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300 Vesey Street, 9th Floor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NY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 </w:t>
      </w:r>
      <w:r>
        <w:rPr>
          <w:rFonts w:ascii="Times New Roman" w:hAnsi="Times New Roman"/>
          <w:caps w:val="false"/>
          <w:smallCaps w:val="false"/>
          <w:sz w:val="20"/>
          <w:u w:val="single"/>
        </w:rPr>
        <w:t>Registration Statement on Form S-8</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have requested our opinion with respect to certain matters in connection with the filing by Fluent, Inc., a Delaware corporation (the “Company”), of a Registration Statement on Form S-8 (the “Registration Statement”) under the Securities Act of 1933, as amended (the “Securities Act”), with the U.S. Securities and Exchange Commission (the “Commission”), covering 1,900,000 shares (the “Shares”) of the Company’s common stock, par value $0.0005 per share (the “Common Stock”), which may be issued pursuant to the Company’s 2022 Omnibus Equity Incentive Plan (as amended,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(this “Opinion”) is being furnished in accordance with the requirements of Item 8 of Form S-8 and Item 601(b)(5)(i)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this Opinion, we have reviewed and relied upon the Registration Statement, the Company’s Certificate of Incorporation, as amended, as in effect on the date hereof (the “Certificate of Incorporation”), the Company’s Amended and Restated Bylaws, as in effect on the date hereof (the “Bylaws” and together with the Certificate of Incorporation, the “Charter Documents”), the proceedings taken by the Company with respect to the authorization and adoption of the Plan, resolutions adopted by the board of directors of the Company, and such other documents, records, certificates, memoranda and other instruments as we deem necessary as a basis for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the foregoing documents, we have assumed the genuineness of all signatures, the authenticity of all documents submitted to us as originals, and the conformity to the original of all documents submitted to us as certified or reproduced copies. We have also assumed that the Shares will be uncertificated in accordance with Section 158 of the Delaware General Corporation Law, and the transfer agent therefor will register the purchaser thereof as the registered owner of any uncertificated Shares on its stock transfer books and records. We have further assumed that (a) shares of Common Stock currently reserved for issuance under the Plan will remain available for the issuance of the Shares, and (b) neither the Company’s Charter Documents nor any of the proceedings relating to either the Plan or any of the award agreements relating to the Shares will be rescinded, amended or otherwise modified prior to the issuance of the Shares. We have also obtained from public officials and officers of the Company certificates or comparable documents as to certain factual matters and, insofar as this Opinion is based on matters of fact, we have relied on such certificates and comparable documents without independent investigation. We have made such other investigations as we have deemed relevant and necessary in connection with the opinions hereinafter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the basis of the foregoing, and in reliance thereon, we are of the opinion that the Shares, when issued and sold in the manner referred to in the Plan and against proper payment and consideration thereof and pursuant to the agreements that accompany the Plan, will be legally and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consent to the filing of this Opinion as Exhibit 5.1 to the Registration Statement.  In giving such consent, we do not thereby admit that we are included 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express no opinion as to matters governed by any laws other than the Delaware General Corporation Law and reported decisions of the Delaware courts interpreting such law.</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Shares, the Plan, the award agreements related to the Shares, or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339" w:type="dxa"/>
        <w:jc w:val="left"/>
        <w:tblInd w:w="0" w:type="dxa"/>
        <w:tblLayout w:type="fixed"/>
        <w:tblCellMar>
          <w:top w:w="0" w:type="dxa"/>
          <w:left w:w="0" w:type="dxa"/>
          <w:bottom w:w="0" w:type="dxa"/>
          <w:right w:w="0" w:type="dxa"/>
        </w:tblCellMar>
      </w:tblPr>
      <w:tblGrid>
        <w:gridCol w:w="4271"/>
        <w:gridCol w:w="68"/>
      </w:tblGrid>
      <w:tr>
        <w:trPr/>
        <w:tc>
          <w:tcPr>
            <w:tcW w:w="42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Respectfully Submitted,</w:t>
            </w:r>
          </w:p>
        </w:tc>
        <w:tc>
          <w:tcPr>
            <w:tcW w:w="68" w:type="dxa"/>
            <w:tcBorders/>
            <w:vAlign w:val="center"/>
          </w:tcPr>
          <w:p>
            <w:pPr>
              <w:pStyle w:val="TableContents"/>
              <w:bidi w:val="0"/>
              <w:spacing w:before="0" w:after="0"/>
              <w:ind w:left="0" w:right="0" w:hanging="0"/>
              <w:jc w:val="left"/>
              <w:rPr/>
            </w:pPr>
            <w:r>
              <w:rPr/>
              <w:t> </w:t>
            </w:r>
          </w:p>
        </w:tc>
      </w:tr>
      <w:tr>
        <w:trPr/>
        <w:tc>
          <w:tcPr>
            <w:tcW w:w="4271" w:type="dxa"/>
            <w:tcBorders/>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r>
      <w:tr>
        <w:trPr/>
        <w:tc>
          <w:tcPr>
            <w:tcW w:w="42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Sheppard, Mullin, Richter &amp; Hampton LLP</w:t>
            </w:r>
          </w:p>
        </w:tc>
        <w:tc>
          <w:tcPr>
            <w:tcW w:w="68" w:type="dxa"/>
            <w:tcBorders/>
            <w:vAlign w:val="center"/>
          </w:tcPr>
          <w:p>
            <w:pPr>
              <w:pStyle w:val="TableContents"/>
              <w:bidi w:val="0"/>
              <w:spacing w:before="0" w:after="0"/>
              <w:ind w:left="0" w:right="0" w:hanging="0"/>
              <w:jc w:val="left"/>
              <w:rPr/>
            </w:pPr>
            <w:r>
              <w:rPr/>
              <w:t> </w:t>
            </w:r>
          </w:p>
        </w:tc>
      </w:tr>
      <w:tr>
        <w:trPr/>
        <w:tc>
          <w:tcPr>
            <w:tcW w:w="43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SHEPPARD, MULLIN, RICHTER &amp; HAMPTON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5" w:name="ex_1011320.htm"/>
      <w:bookmarkStart w:id="6" w:name="ksex_1011320"/>
      <w:bookmarkEnd w:id="5"/>
      <w:bookmarkEnd w:id="6"/>
      <w:r>
        <w:rPr>
          <w:rFonts w:ascii="Times New Roman;Times;serif" w:hAnsi="Times New Roman;Times;serif"/>
          <w:b/>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CONSENT OF INDEPENDENT REGISTERED PUBLIC ACCOUNTING FIRM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issued our report dated March 31, 2026, with respect to the consolidated financial statements of Fluent, Inc. included in the Annual Report on Form 10-K for the year ended December 31, 2025, which are incorporated by reference in this Registration Statement. We consent to the incorporation by reference of the aforementioned report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 THORNTON LLP (signed manually)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1, 2026</w:t>
      </w:r>
    </w:p>
    <w:p>
      <w:pPr>
        <w:pStyle w:val="Normal"/>
        <w:bidi w:val="0"/>
        <w:spacing w:before="0" w:after="0"/>
        <w:jc w:val="left"/>
        <w:rPr>
          <w:sz w:val="4"/>
          <w:szCs w:val="4"/>
        </w:rPr>
      </w:pPr>
      <w:r>
        <w:rPr>
          <w:sz w:val="4"/>
          <w:szCs w:val="4"/>
        </w:rPr>
      </w:r>
      <w:bookmarkStart w:id="7" w:name="ex_1005318.htm"/>
      <w:bookmarkStart w:id="8" w:name="ksex_1005318"/>
      <w:bookmarkStart w:id="9" w:name="ex_1005318.htm"/>
      <w:bookmarkStart w:id="10" w:name="ksex_1005318"/>
      <w:bookmarkEnd w:id="9"/>
      <w:bookmarkEnd w:id="10"/>
      <w:r>
        <w:br w:type="page"/>
      </w:r>
    </w:p>
    <w:tbl>
      <w:tblPr>
        <w:tblW w:w="3547" w:type="dxa"/>
        <w:jc w:val="left"/>
        <w:tblInd w:w="0" w:type="dxa"/>
        <w:tblLayout w:type="fixed"/>
        <w:tblCellMar>
          <w:top w:w="28" w:type="dxa"/>
          <w:left w:w="28" w:type="dxa"/>
          <w:bottom w:w="28" w:type="dxa"/>
          <w:right w:w="28" w:type="dxa"/>
        </w:tblCellMar>
      </w:tblPr>
      <w:tblGrid>
        <w:gridCol w:w="3393"/>
        <w:gridCol w:w="154"/>
      </w:tblGrid>
      <w:tr>
        <w:trPr/>
        <w:tc>
          <w:tcPr>
            <w:tcW w:w="354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3" w:type="dxa"/>
            <w:tcBorders/>
            <w:vAlign w:val="center"/>
          </w:tcPr>
          <w:p>
            <w:pPr>
              <w:pStyle w:val="TableContents"/>
              <w:bidi w:val="0"/>
              <w:spacing w:before="0" w:after="283"/>
              <w:jc w:val="left"/>
              <w:rPr>
                <w:b/>
              </w:rPr>
            </w:pPr>
            <w:r>
              <w:rPr>
                <w:b/>
              </w:rPr>
              <w:t xml:space="preserve">Fluent,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3"/>
        <w:gridCol w:w="1058"/>
        <w:gridCol w:w="1303"/>
        <w:gridCol w:w="1211"/>
        <w:gridCol w:w="1250"/>
        <w:gridCol w:w="1607"/>
        <w:gridCol w:w="1127"/>
        <w:gridCol w:w="1444"/>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3"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5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5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7"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3" w:type="dxa"/>
            <w:tcBorders/>
            <w:shd w:fill="E7E7E2" w:val="clear"/>
            <w:vAlign w:val="center"/>
          </w:tcPr>
          <w:p>
            <w:pPr>
              <w:pStyle w:val="TableContents"/>
              <w:bidi w:val="0"/>
              <w:spacing w:before="0" w:after="283"/>
              <w:jc w:val="left"/>
              <w:rPr/>
            </w:pPr>
            <w:r>
              <w:rPr/>
              <w:t xml:space="preserve">Equity </w:t>
            </w:r>
          </w:p>
        </w:tc>
        <w:tc>
          <w:tcPr>
            <w:tcW w:w="1058" w:type="dxa"/>
            <w:tcBorders/>
            <w:shd w:fill="E7E7E2" w:val="clear"/>
            <w:vAlign w:val="center"/>
          </w:tcPr>
          <w:p>
            <w:pPr>
              <w:pStyle w:val="TableContents"/>
              <w:bidi w:val="0"/>
              <w:spacing w:before="0" w:after="283"/>
              <w:jc w:val="left"/>
              <w:rPr/>
            </w:pPr>
            <w:r>
              <w:rPr/>
              <w:t xml:space="preserve">Common Stock, $0.0005 par value </w:t>
            </w:r>
          </w:p>
        </w:tc>
        <w:tc>
          <w:tcPr>
            <w:tcW w:w="1303" w:type="dxa"/>
            <w:tcBorders/>
            <w:shd w:fill="E7E7E2" w:val="clear"/>
            <w:vAlign w:val="center"/>
          </w:tcPr>
          <w:p>
            <w:pPr>
              <w:pStyle w:val="TableContents"/>
              <w:bidi w:val="0"/>
              <w:spacing w:before="0" w:after="283"/>
              <w:jc w:val="center"/>
              <w:rPr/>
            </w:pPr>
            <w:r>
              <w:rPr/>
              <w:t xml:space="preserve">Other </w:t>
            </w:r>
          </w:p>
        </w:tc>
        <w:tc>
          <w:tcPr>
            <w:tcW w:w="1211" w:type="dxa"/>
            <w:tcBorders/>
            <w:shd w:fill="E7E7E2" w:val="clear"/>
            <w:vAlign w:val="center"/>
          </w:tcPr>
          <w:p>
            <w:pPr>
              <w:pStyle w:val="TableContents"/>
              <w:bidi w:val="0"/>
              <w:spacing w:before="0" w:after="283"/>
              <w:jc w:val="right"/>
              <w:rPr/>
            </w:pPr>
            <w:r>
              <w:rPr/>
              <w:t xml:space="preserve">1,900,000 </w:t>
            </w:r>
          </w:p>
        </w:tc>
        <w:tc>
          <w:tcPr>
            <w:tcW w:w="1250" w:type="dxa"/>
            <w:tcBorders/>
            <w:shd w:fill="E7E7E2" w:val="clear"/>
            <w:vAlign w:val="center"/>
          </w:tcPr>
          <w:p>
            <w:pPr>
              <w:pStyle w:val="TableContents"/>
              <w:bidi w:val="0"/>
              <w:spacing w:before="0" w:after="283"/>
              <w:jc w:val="right"/>
              <w:rPr/>
            </w:pPr>
            <w:r>
              <w:rPr/>
              <w:t xml:space="preserve">$ 3.58 </w:t>
            </w:r>
          </w:p>
        </w:tc>
        <w:tc>
          <w:tcPr>
            <w:tcW w:w="1607" w:type="dxa"/>
            <w:tcBorders/>
            <w:shd w:fill="E7E7E2" w:val="clear"/>
            <w:vAlign w:val="center"/>
          </w:tcPr>
          <w:p>
            <w:pPr>
              <w:pStyle w:val="TableContents"/>
              <w:bidi w:val="0"/>
              <w:spacing w:before="0" w:after="283"/>
              <w:jc w:val="right"/>
              <w:rPr/>
            </w:pPr>
            <w:r>
              <w:rPr/>
              <w:t xml:space="preserve">$ 6,802,000.00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4" w:type="dxa"/>
            <w:tcBorders/>
            <w:shd w:fill="E7E7E2" w:val="clear"/>
            <w:vAlign w:val="center"/>
          </w:tcPr>
          <w:p>
            <w:pPr>
              <w:pStyle w:val="TableContents"/>
              <w:bidi w:val="0"/>
              <w:spacing w:before="0" w:after="283"/>
              <w:jc w:val="right"/>
              <w:rPr/>
            </w:pPr>
            <w:r>
              <w:rPr/>
              <w:t xml:space="preserve">$ 939.36 </w:t>
            </w:r>
          </w:p>
        </w:tc>
      </w:tr>
      <w:tr>
        <w:trPr/>
        <w:tc>
          <w:tcPr>
            <w:tcW w:w="4777" w:type="dxa"/>
            <w:gridSpan w:val="5"/>
            <w:tcBorders/>
            <w:vAlign w:val="center"/>
          </w:tcPr>
          <w:p>
            <w:pPr>
              <w:pStyle w:val="TableContents"/>
              <w:bidi w:val="0"/>
              <w:spacing w:before="0" w:after="0"/>
              <w:ind w:left="0" w:right="0" w:hanging="0"/>
              <w:jc w:val="right"/>
              <w:rPr/>
            </w:pPr>
            <w:r>
              <w:rPr/>
              <w:t>Total Offering Amounts:</w:t>
            </w:r>
          </w:p>
        </w:tc>
        <w:tc>
          <w:tcPr>
            <w:tcW w:w="125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0"/>
              <w:ind w:left="0" w:right="0" w:hanging="0"/>
              <w:jc w:val="right"/>
              <w:rPr/>
            </w:pPr>
            <w:bookmarkStart w:id="11" w:name="MaxAggtOfferingPrice"/>
            <w:bookmarkEnd w:id="11"/>
            <w:r>
              <w:rPr/>
              <w:t xml:space="preserve">$ 6,802,000.00 </w:t>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$ 939.36 </w:t>
            </w:r>
          </w:p>
        </w:tc>
      </w:tr>
      <w:tr>
        <w:trPr/>
        <w:tc>
          <w:tcPr>
            <w:tcW w:w="4777" w:type="dxa"/>
            <w:gridSpan w:val="5"/>
            <w:tcBorders/>
            <w:vAlign w:val="center"/>
          </w:tcPr>
          <w:p>
            <w:pPr>
              <w:pStyle w:val="TableContents"/>
              <w:bidi w:val="0"/>
              <w:spacing w:before="0" w:after="0"/>
              <w:ind w:left="0" w:right="0" w:hanging="0"/>
              <w:jc w:val="right"/>
              <w:rPr/>
            </w:pPr>
            <w:r>
              <w:rPr/>
              <w:t xml:space="preserve">Total Fee Offsets: </w:t>
            </w:r>
          </w:p>
        </w:tc>
        <w:tc>
          <w:tcPr>
            <w:tcW w:w="125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77" w:type="dxa"/>
            <w:gridSpan w:val="5"/>
            <w:tcBorders/>
            <w:vAlign w:val="center"/>
          </w:tcPr>
          <w:p>
            <w:pPr>
              <w:pStyle w:val="TableContents"/>
              <w:bidi w:val="0"/>
              <w:spacing w:before="0" w:after="0"/>
              <w:ind w:left="0" w:right="0" w:hanging="0"/>
              <w:jc w:val="right"/>
              <w:rPr/>
            </w:pPr>
            <w:r>
              <w:rPr/>
              <w:t xml:space="preserve">Net Fee Due: </w:t>
            </w:r>
          </w:p>
        </w:tc>
        <w:tc>
          <w:tcPr>
            <w:tcW w:w="125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0"/>
              <w:ind w:left="0" w:right="0" w:hanging="0"/>
              <w:jc w:val="right"/>
              <w:rPr/>
            </w:pPr>
            <w:bookmarkStart w:id="14" w:name="NetFeeAmt"/>
            <w:bookmarkEnd w:id="14"/>
            <w:r>
              <w:rPr/>
              <w:t xml:space="preserve">$ 939.36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Estimated solely for purposes of calculating the registration fee pursuant to Rules 457(c) and 457(h) of the Securities Act of 1933, as amended (the "Securities Act"), by averaging the high and low sales prices of Fluent, Inc.'s (the "Registrant's") common stock, par value $0.0005 per share ("Common Stock"), as reported on The Nasdaq Capital Market on August 28, 2026, which date is within five business days prior to the filing of this Registration Statement. Pursuant to Rule 416(a) under the Securities Act, this Registration Statement shall also cover an indeterminate number of additional shares of Common Stock of the Registrant which become issuable under the Registrant's 2022 Omnibus Equity Incentive Plan (as amended, the "2022 Plan") by reason of any stock dividend, stock split, recapitalization or other similar transaction that increases the number of outstanding shares of Common Stock. In addition, pursuant to Rule 416(c) under the Securities Act, this Registration Statement shall also cover an indeterminate amount of interests to be offered or sold pursuant to the employee benefit plans described herein. Represents 1,900,000 additional shares of Common Stock available for issuance under the 2022 Plan. On June 17, 2026, at the Registrant's 2026 annual meeting of stockholders, the stockholders of the Registrant approved an increase in the number of shares reserved under the 2022 Plan by 1,900,000 shares.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60329/000143774922019821/flnt20220526_s8.htm" TargetMode="External"/><Relationship Id="rId3" Type="http://schemas.openxmlformats.org/officeDocument/2006/relationships/hyperlink" Target="http://www.sec.gov/Archives/edgar/data/1460329/000143774925029081/flnt20250912_s8.htm" TargetMode="External"/><Relationship Id="rId4" Type="http://schemas.openxmlformats.org/officeDocument/2006/relationships/hyperlink" Target="http://www.sec.gov/ix?doc=/Archives/edgar/data/0001460329/000143774926010679/flnt20251231_10k.htm" TargetMode="External"/><Relationship Id="rId5" Type="http://schemas.openxmlformats.org/officeDocument/2006/relationships/hyperlink" Target="http://www.sec.gov/ix?doc=/Archives/edgar/data/0001460329/000143774926014268/flnt20261231_10ka.htm" TargetMode="External"/><Relationship Id="rId6" Type="http://schemas.openxmlformats.org/officeDocument/2006/relationships/hyperlink" Target="http://www.sec.gov/ix?doc=/Archives/edgar/data/0001460329/000143774926016747/flnt20260501_10q.htm" TargetMode="External"/><Relationship Id="rId7" Type="http://schemas.openxmlformats.org/officeDocument/2006/relationships/hyperlink" Target="http://www.sec.gov/ix?doc=/Archives/edgar/data/0001460329/000143774926027702/flnt20260630c_10q.htm" TargetMode="External"/><Relationship Id="rId8" Type="http://schemas.openxmlformats.org/officeDocument/2006/relationships/hyperlink" Target="http://www.sec.gov/ix?doc=/Archives/edgar/data/0001460329/000143774926003216/flnt20260203_8k.htm" TargetMode="External"/><Relationship Id="rId9" Type="http://schemas.openxmlformats.org/officeDocument/2006/relationships/hyperlink" Target="http://www.sec.gov/ix?doc=/Archives/edgar/data/0001460329/000143774926021019/flnt20260612_8k.htm" TargetMode="External"/><Relationship Id="rId10" Type="http://schemas.openxmlformats.org/officeDocument/2006/relationships/hyperlink" Target="http://www.sec.gov/Archives/edgar/data/1460329/000143774926014994/flnt20260504_def14a.htm" TargetMode="External"/><Relationship Id="rId11" Type="http://schemas.openxmlformats.org/officeDocument/2006/relationships/hyperlink" Target="http://www.sec.gov/Archives/edgar/data/1460329/000119312516718661/d255942d8a12b.htm" TargetMode="External"/><Relationship Id="rId12" Type="http://schemas.openxmlformats.org/officeDocument/2006/relationships/hyperlink" Target="http://www.sec.gov/Archives/edgar/data/1460329/000119312518118750/d571788dex41.htm" TargetMode="External"/><Relationship Id="rId13" Type="http://schemas.openxmlformats.org/officeDocument/2006/relationships/hyperlink" Target="http://www.sec.gov/Archives/edgar/data/1460329/000143774922014784/ex_385483.htm" TargetMode="External"/><Relationship Id="rId14" Type="http://schemas.openxmlformats.org/officeDocument/2006/relationships/hyperlink" Target="http://www.sec.gov/ix?doc=/Archives/edgar/data/0001460329/000143774925013159/flnt20250414d_def14a.htm" TargetMode="External"/><Relationship Id="rId15" Type="http://schemas.openxmlformats.org/officeDocument/2006/relationships/hyperlink" Target="http://www.sec.gov/Archives/edgar/data/1460329/000143774926027702/ex_1000495.htm" TargetMode="External"/><Relationship Id="rId16" Type="http://schemas.openxmlformats.org/officeDocument/2006/relationships/hyperlink" Target="http://www.sec.gov/Archives/edgar/data/1460329/000143774926027702/ex_980229.htm" TargetMode="External"/><Relationship Id="rId17" Type="http://schemas.openxmlformats.org/officeDocument/2006/relationships/hyperlink" Target="http://www.sec.gov/Archives/edgar/data/1460329/000143774923024321/ex_556832.htm" TargetMode="External"/><Relationship Id="rId18" Type="http://schemas.openxmlformats.org/officeDocument/2006/relationships/hyperlink" Target="http://www.sec.gov/Archives/edgar/data/1460329/000143774923024321/ex_556834.htm" TargetMode="External"/><Relationship Id="rId19" Type="http://schemas.openxmlformats.org/officeDocument/2006/relationships/hyperlink" Target="http://www.sec.gov/Archives/edgar/data/1460329/000143774923024321/ex_556835.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2791</Words>
  <Characters>14758</Characters>
  <CharactersWithSpaces>17602</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