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GLOBAL VALUE INVESTMENT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1433 N. WATER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5"/>
        <w:gridCol w:w="932"/>
        <w:gridCol w:w="801"/>
        <w:gridCol w:w="618"/>
        <w:gridCol w:w="341"/>
        <w:gridCol w:w="911"/>
        <w:gridCol w:w="415"/>
        <w:gridCol w:w="700"/>
        <w:gridCol w:w="1252"/>
        <w:gridCol w:w="965"/>
        <w:gridCol w:w="136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(9)</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3,218,566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(2)(3)(4)</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(9)</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3,218,066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(2)(3)(4)</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(9)</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3,218,064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(2)(3)(4)</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(9)</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3,217,399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(2)(3)(4)</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(9)</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3,217,251</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(2)(3)(4)</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12,376</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w:t>
            </w:r>
            <w:r>
              <w:rPr>
                <w:rFonts w:ascii="Times;serif" w:hAnsi="Times;serif"/>
                <w:color w:val="008000"/>
                <w:position w:val="7"/>
                <w:sz w:val="16"/>
                <w:sz w:val="20"/>
                <w:shd w:fill="FFFFFF" w:val="clear"/>
              </w:rPr>
              <w:t>(7)</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3,229,627</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(2)(3)(4)</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3,229,492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(2)(3)(4)</w:t>
            </w:r>
          </w:p>
        </w:tc>
      </w:tr>
      <w:tr>
        <w:trPr/>
        <w:tc>
          <w:tcPr>
            <w:tcW w:w="1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9,385</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3"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00"/>
        <w:gridCol w:w="401"/>
        <w:gridCol w:w="906"/>
        <w:gridCol w:w="801"/>
        <w:gridCol w:w="891"/>
        <w:gridCol w:w="801"/>
        <w:gridCol w:w="801"/>
        <w:gridCol w:w="936"/>
        <w:gridCol w:w="831"/>
        <w:gridCol w:w="1206"/>
      </w:tblGrid>
      <w:tr>
        <w:trPr>
          <w:tblHeader w:val="true"/>
        </w:trPr>
        <w:tc>
          <w:tcPr>
            <w:tcW w:w="122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78,425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Global Value Investment Corporation</w:t>
            </w:r>
            <w:r>
              <w:rPr>
                <w:rFonts w:ascii="Times;serif" w:hAnsi="Times;serif"/>
                <w:color w:val="008000"/>
                <w:position w:val="7"/>
                <w:sz w:val="16"/>
                <w:sz w:val="20"/>
                <w:shd w:fill="FFFFFF" w:val="clear"/>
              </w:rPr>
              <w:t>(2)(3)(4)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GLOBAL VALUE INVESTMENT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1433 N. WATER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GEYGAN JEFFREY RICHART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1433 N. WATER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GEYGAN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Wilke Stacy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1433 N. WATER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Geygan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1433 N. WATER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Rice Shawn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1433 N. WATER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sale price. The Reporting Person undertakes to provide to the staff, the issuer, or a security holder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in one or more accounts managed indirectly by Global Value Investment Corporation or its subsidiary or its affiliated persons/entities (collectively, "GVIC"). GVIC may be deemed to have beneficial ownership of these securities because it serves as the investment manager and/or investment advisor to separately managed accounts, investment partnerships, and/or individuals. The reporting person disclaims beneficial ownership in the securities except to the extent of his pecuniary interest, if any, and this report shall not be deemed to be an admission that the reporting person is the beneficial owner of such securities for the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addition to Global Value Investment Corp, a Delaware corporation ("GVIC"), this Form 4 is being filed jointly by Jeffrey R. Geygan, a citizen of the United States of America, James P. Geygan, a citizen of the United States of America, Stacy A. Wilke, a citizen of the United States of America, Kathleen M. Geygan, a citizen of the United States of America, and Shawn G. Rice, a citizen of the United States of America, each of whom has the same business address as GVIC. GVIC beneficially owns the shares of common stock, par value $0.0005 per share ("Common Stock"), of Fluent, Inc.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accordance with Instruction 4(b)(iv), the entire amount of Common Stock held by GVIC is reported herein. Common Stock reported as indirectly owned by GVIC includes shares owned by Jeffrey R. Geygan, James P. Geygan, Stacy A. Wilke, Kathleen M. Geygan, and Shawn G. 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Warrants are exercisable following stockholder approval of the offering of the Warrants on June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Warrants will expire three years from the date of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represents a weighted average purchase price. The Reporting Person undertakes to provide to the staff, the issuer, or a security holder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As of September 16, 2026, certain separately managed accounts terminated their relationship with, and are no longer advised by, Global Value Investment Corporation. The positions held in such accounts are therefore no longer included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GVIC executed unsolicited trades in a client account, at the sole direction of the account owner, for the purpose of a partial account liquidation.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 Geygan,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9866"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569866" TargetMode="External"/><Relationship Id="rId9" Type="http://schemas.openxmlformats.org/officeDocument/2006/relationships/hyperlink" Target="http://www.sec.gov/cgi-bin/browse-edgar?action=getcompany&amp;CIK=0001733547" TargetMode="External"/><Relationship Id="rId10" Type="http://schemas.openxmlformats.org/officeDocument/2006/relationships/hyperlink" Target="http://www.sec.gov/cgi-bin/browse-edgar?action=getcompany&amp;CIK=0001734726" TargetMode="External"/><Relationship Id="rId11" Type="http://schemas.openxmlformats.org/officeDocument/2006/relationships/hyperlink" Target="http://www.sec.gov/cgi-bin/browse-edgar?action=getcompany&amp;CIK=0001865363" TargetMode="External"/><Relationship Id="rId12" Type="http://schemas.openxmlformats.org/officeDocument/2006/relationships/hyperlink" Target="http://www.sec.gov/cgi-bin/browse-edgar?action=getcompany&amp;CIK=0001865425" TargetMode="External"/><Relationship Id="rId13" Type="http://schemas.openxmlformats.org/officeDocument/2006/relationships/hyperlink" Target="http://www.sec.gov/cgi-bin/browse-edgar?action=getcompany&amp;CIK=0002007274"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1262</Words>
  <Characters>6831</Characters>
  <CharactersWithSpaces>7867</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