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Patrick Donald Huntley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FLUENT,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VESEY STREET, 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Fluent, Inc.</w:t>
              </w:r>
            </w:hyperlink>
            <w:r>
              <w:rPr/>
              <w:t xml:space="preserve"> [ </w:t>
            </w:r>
            <w:r>
              <w:rPr>
                <w:rFonts w:ascii="Times;serif" w:hAnsi="Times;serif"/>
                <w:color w:val="0000FF"/>
                <w:sz w:val="24"/>
                <w:shd w:fill="FFFFFF" w:val="clear"/>
              </w:rPr>
              <w:t>FLNT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4"/>
        <w:gridCol w:w="903"/>
        <w:gridCol w:w="774"/>
        <w:gridCol w:w="600"/>
        <w:gridCol w:w="343"/>
        <w:gridCol w:w="1051"/>
        <w:gridCol w:w="439"/>
        <w:gridCol w:w="836"/>
        <w:gridCol w:w="1138"/>
        <w:gridCol w:w="980"/>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06/10/2025</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3,191</w:t>
            </w:r>
            <w:r>
              <w:rPr>
                <w:rFonts w:ascii="Times;serif" w:hAnsi="Times;serif"/>
                <w:color w:val="008000"/>
                <w:position w:val="7"/>
                <w:sz w:val="16"/>
                <w:sz w:val="20"/>
                <w:shd w:fill="FFFFFF" w:val="clear"/>
              </w:rPr>
              <w:t>(1)</w:t>
            </w:r>
            <w:r>
              <w:rPr/>
              <w:t xml:space="preserve"> </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315,360</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06/10/2025</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1,353</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1.8139</w:t>
            </w:r>
            <w:r>
              <w:rPr/>
              <w:t xml:space="preserve"> </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314,007</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10/09/2025</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111,000</w:t>
            </w:r>
            <w:r>
              <w:rPr>
                <w:rFonts w:ascii="Times;serif" w:hAnsi="Times;serif"/>
                <w:color w:val="008000"/>
                <w:position w:val="7"/>
                <w:sz w:val="16"/>
                <w:sz w:val="20"/>
                <w:shd w:fill="FFFFFF" w:val="clear"/>
              </w:rPr>
              <w:t>(3)</w:t>
            </w:r>
            <w:r>
              <w:rPr/>
              <w:t xml:space="preserve"> </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425,007</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37,000</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462,007</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37,000</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3.26</w:t>
            </w:r>
            <w:r>
              <w:rPr/>
              <w:t xml:space="preserve"> </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425,007</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107,000</w:t>
            </w:r>
            <w:r>
              <w:rPr>
                <w:rFonts w:ascii="Times;serif" w:hAnsi="Times;serif"/>
                <w:color w:val="008000"/>
                <w:position w:val="7"/>
                <w:sz w:val="16"/>
                <w:sz w:val="20"/>
                <w:shd w:fill="FFFFFF" w:val="clear"/>
              </w:rPr>
              <w:t>(5)</w:t>
            </w:r>
            <w:r>
              <w:rPr/>
              <w:t xml:space="preserve"> </w:t>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532,007</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749"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816"/>
        <w:gridCol w:w="711"/>
        <w:gridCol w:w="906"/>
        <w:gridCol w:w="801"/>
        <w:gridCol w:w="891"/>
        <w:gridCol w:w="921"/>
        <w:gridCol w:w="801"/>
        <w:gridCol w:w="936"/>
        <w:gridCol w:w="831"/>
        <w:gridCol w:w="846"/>
      </w:tblGrid>
      <w:tr>
        <w:trPr>
          <w:tblHeader w:val="true"/>
        </w:trPr>
        <w:tc>
          <w:tcPr>
            <w:tcW w:w="127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111,000</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04/01/2026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04/01/2026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74,000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107,000</w:t>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107,000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October 3, 2022, the Issuer approved an award of 25,528 performance stock units ("PSUs") to the Reporting Person under the Fluent, Inc. 2022 Omnibus Equity Incentive Plan, subject to the achievement of certain financial targets. Targets were measured over a three-year period resulting in the issuance of 3,191 PSUs, with the remainder of the PSUs being forfeited.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were sold to cover tax withholding obligations.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October 9, 2025, the Issuer granted the Reporting Person 111,000 restricted stock units ("RSUs") pursuant to the Issuer's 2025 Equity Participation Plan ("2025 EPP"). The RSUs vest in three equal annual installments with the first installment vesting on April 1, 2026, subject to continued employment.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phantom stock unit was the economic equivalent of one share of the Issuer's common stock. On April 1, 2026, 37,000 of the Reporting Person's phantom stock units were settled for cash.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April 3, 2026, the Issuer granted the Reporting Person 107,000 RSUs pursuant to the Issuer's 2025 EPP. The RSUs vest in three equal annual installments with the first installment vesting on April 1, 2027, subject to continued employment.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grant was made pursuant to the Issuer's 2025 EPP. Each phantom stock unit is the economic equivalent of one share of the Issuer's common stock and vest in three equal annual installments with the first installment vesting on April 1, 2026. Each phantom stock unit will be settled in cash in an amount equal to the fair market value of the Issuer's common stock on the vesting date, subject to continued employment.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grant was made pursuant to the Issuer's 2025 EPP. Each phantom stock unit is the economic equivalent of one share of the Issuer's common stock and vest in three equal annual installments with the first installment vesting on April 1, 2027. Each phantom stock unit will be settled in cash in an amount equal to the fair market value of the Issuer's common stock on the vesting date, subject to continued employment.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Donald Patrick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5387" TargetMode="External"/><Relationship Id="rId5" Type="http://schemas.openxmlformats.org/officeDocument/2006/relationships/hyperlink" Target="http://www.sec.gov/cgi-bin/browse-edgar?action=getcompany&amp;CIK=00014603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990</Words>
  <Characters>5179</Characters>
  <CharactersWithSpaces>6038</CharactersWithSpaces>
  <Paragraphs>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