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Schulke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5"/>
        <w:gridCol w:w="922"/>
        <w:gridCol w:w="792"/>
        <w:gridCol w:w="612"/>
        <w:gridCol w:w="342"/>
        <w:gridCol w:w="816"/>
        <w:gridCol w:w="425"/>
        <w:gridCol w:w="800"/>
        <w:gridCol w:w="1257"/>
        <w:gridCol w:w="971"/>
        <w:gridCol w:w="12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2,823</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3.076</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4,156,617</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592,044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The Schulke Inn Family Foundation Trust</w:t>
            </w:r>
            <w:r>
              <w:rPr>
                <w:rFonts w:ascii="Times;serif" w:hAnsi="Times;serif"/>
                <w:color w:val="008000"/>
                <w:position w:val="7"/>
                <w:sz w:val="16"/>
                <w:sz w:val="20"/>
                <w:shd w:fill="FFFFFF" w:val="clear"/>
              </w:rPr>
              <w:t>(2)</w:t>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333,334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RSMC Partners, LLC</w:t>
            </w:r>
            <w:r>
              <w:rPr>
                <w:rFonts w:ascii="Times;serif" w:hAnsi="Times;serif"/>
                <w:color w:val="008000"/>
                <w:position w:val="7"/>
                <w:sz w:val="16"/>
                <w:sz w:val="20"/>
                <w:shd w:fill="FFFFFF" w:val="clear"/>
              </w:rPr>
              <w:t>(3)</w:t>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The Ryan Schulke 2020 Grantor Retained Annuity Trust</w:t>
            </w:r>
            <w:r>
              <w:rPr>
                <w:rFonts w:ascii="Times;serif" w:hAnsi="Times;serif"/>
                <w:color w:val="008000"/>
                <w:position w:val="7"/>
                <w:sz w:val="16"/>
                <w:sz w:val="20"/>
                <w:shd w:fill="FFFFFF" w:val="clear"/>
              </w:rPr>
              <w:t>(4)</w:t>
            </w:r>
          </w:p>
        </w:tc>
      </w:tr>
      <w:tr>
        <w:trPr/>
        <w:tc>
          <w:tcPr>
            <w:tcW w:w="2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149,690</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2022 Ryan Schulke Grantor Retained Annuity Trust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listed in Column 4 is a weighted average price. The shares were purchased in multiple transactions at prices ranging from $3.06 to $3.14, inclusive. The Reporting Person undertakes to provide Fluent, Inc., any Fluent, Inc. security holder,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co-trustee of the Schulke Inn Family Foundation Trust and in such capacity has the shared right to vote and dispose of the securities held by such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Member of RSMC Partners,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Trustee of The Ryan Schulke 2020 Grantor Retained Annuity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is the Trustee of the 2022 Ryan Schulke Grantor Retained Annuity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Schulke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0850"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4051</Characters>
  <CharactersWithSpaces>4723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