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rdgdoc.xml.htm"/>
      <w:bookmarkStart w:id="1" w:name="ksrdg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Graff David Allen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FLUENT,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300 VESEY STREET, 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10282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Fluent, Inc.</w:t>
              </w:r>
            </w:hyperlink>
            <w:r>
              <w:rPr/>
              <w:t xml:space="preserve"> [ </w:t>
            </w:r>
            <w:r>
              <w:rPr>
                <w:rFonts w:ascii="Times;serif" w:hAnsi="Times;serif"/>
                <w:color w:val="0000FF"/>
                <w:sz w:val="24"/>
                <w:shd w:fill="FFFFFF" w:val="clear"/>
              </w:rPr>
              <w:t>FLNT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w:t>
            </w:r>
            <w:r>
              <w:rPr>
                <w:rFonts w:ascii="Times;serif" w:hAnsi="Times;serif"/>
                <w:color w:val="008000"/>
                <w:position w:val="7"/>
                <w:sz w:val="16"/>
                <w:sz w:val="20"/>
                <w:shd w:fill="FFFFFF" w:val="clear"/>
              </w:rPr>
              <w:t>(1)</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95,438</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listed in Column 4 is a weighted average price. The shares were purchased in multiple transactions at prices ranging from $3.00 to $3.06, inclusive. The Reporting Person undertakes to provide Fluent, Inc., any Fluent, Inc. security holder, or the staff of the Securities and Exchange Commission, upon request, full information regarding the number of shares purchased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A Graff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50328" TargetMode="External"/><Relationship Id="rId5" Type="http://schemas.openxmlformats.org/officeDocument/2006/relationships/hyperlink" Target="http://www.sec.gov/cgi-bin/browse-edgar?action=getcompany&amp;CIK=000146032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3421</Characters>
  <CharactersWithSpaces>3989</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