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flnt20260617c_8k.htm"/>
      <w:bookmarkStart w:id="1" w:name="ksflnt20260617c_8k"/>
      <w:bookmarkEnd w:id="0"/>
      <w:bookmarkEnd w:id="1"/>
      <w:r>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UNITED STATES</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SECURITIES AND EXCHANGE COMMISSION</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FORM 8-K</w:t>
      </w:r>
      <w:r>
        <w:rPr>
          <w:rFonts w:ascii="Times New Roman" w:hAnsi="Times New Roman"/>
          <w:caps w:val="false"/>
          <w:smallCaps w:val="false"/>
          <w:sz w:val="36"/>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CURRENT REPORT</w:t>
      </w:r>
      <w:r>
        <w:rPr>
          <w:rFonts w:ascii="Times New Roman" w:hAnsi="Times New Roman"/>
          <w:caps w:val="false"/>
          <w:smallCaps w:val="false"/>
          <w:sz w:val="36"/>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w:t>
      </w:r>
      <w:r>
        <w:rPr>
          <w:rFonts w:ascii="Times New Roman" w:hAnsi="Times New Roman"/>
          <w:caps w:val="false"/>
          <w:smallCaps w:val="false"/>
          <w:sz w:val="20"/>
        </w:rPr>
        <w:t> </w:t>
      </w:r>
      <w:r>
        <w:rPr>
          <w:rFonts w:ascii="Times New Roman" w:hAnsi="Times New Roman"/>
          <w:b/>
          <w:caps w:val="false"/>
          <w:smallCaps w:val="false"/>
          <w:sz w:val="20"/>
        </w:rPr>
        <w:t>13 or 15(d) of the 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Date of report (Date of earliest event reported): June 22,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48"/>
        </w:rPr>
      </w:pPr>
      <w:r>
        <w:rPr>
          <w:rFonts w:ascii="Times New Roman" w:hAnsi="Times New Roman"/>
          <w:b/>
          <w:caps w:val="false"/>
          <w:smallCaps w:val="false"/>
          <w:sz w:val="48"/>
        </w:rPr>
        <w:t>FLUENT, INC.</w:t>
      </w:r>
      <w:r>
        <w:rPr>
          <w:rFonts w:ascii="Times New Roman" w:hAnsi="Times New Roman"/>
          <w:caps w:val="false"/>
          <w:smallCaps w:val="false"/>
          <w:sz w:val="48"/>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(Exact Name of Registrant as Specified in its Charter)</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5040" w:type="dxa"/>
        <w:jc w:val="left"/>
        <w:tblInd w:w="0" w:type="dxa"/>
        <w:tblLayout w:type="fixed"/>
        <w:tblCellMar>
          <w:top w:w="0" w:type="dxa"/>
          <w:left w:w="0" w:type="dxa"/>
          <w:bottom w:w="0" w:type="dxa"/>
          <w:right w:w="0" w:type="dxa"/>
        </w:tblCellMar>
      </w:tblPr>
      <w:tblGrid>
        <w:gridCol w:w="2345"/>
        <w:gridCol w:w="1145"/>
        <w:gridCol w:w="1550"/>
      </w:tblGrid>
      <w:tr>
        <w:trPr/>
        <w:tc>
          <w:tcPr>
            <w:tcW w:w="23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11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001-37893</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77-0688094</w:t>
            </w:r>
          </w:p>
        </w:tc>
      </w:tr>
      <w:tr>
        <w:trPr/>
        <w:tc>
          <w:tcPr>
            <w:tcW w:w="23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 or Other Jurisdiction</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 Incorporation)</w:t>
            </w:r>
          </w:p>
        </w:tc>
        <w:tc>
          <w:tcPr>
            <w:tcW w:w="11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File Number)</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(IRS Employer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3380"/>
        <w:gridCol w:w="60"/>
        <w:gridCol w:w="920"/>
      </w:tblGrid>
      <w:tr>
        <w:trPr/>
        <w:tc>
          <w:tcPr>
            <w:tcW w:w="33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300 Vesey Street, 9th Floor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New York, New York</w:t>
            </w:r>
          </w:p>
        </w:tc>
        <w:tc>
          <w:tcPr>
            <w:tcW w:w="60" w:type="dxa"/>
            <w:tcBorders/>
            <w:vAlign w:val="center"/>
          </w:tcPr>
          <w:p>
            <w:pPr>
              <w:pStyle w:val="TableContents"/>
              <w:bidi w:val="0"/>
              <w:spacing w:before="0" w:after="0"/>
              <w:ind w:left="0" w:right="0" w:hanging="0"/>
              <w:jc w:val="left"/>
              <w:rPr/>
            </w:pPr>
            <w:r>
              <w:rPr/>
              <w:t> </w:t>
            </w:r>
          </w:p>
        </w:tc>
        <w:tc>
          <w:tcPr>
            <w:tcW w:w="9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10282</w:t>
            </w:r>
          </w:p>
        </w:tc>
      </w:tr>
      <w:tr>
        <w:trPr/>
        <w:tc>
          <w:tcPr>
            <w:tcW w:w="33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(Address of Principal Executive Offices)</w:t>
            </w:r>
          </w:p>
        </w:tc>
        <w:tc>
          <w:tcPr>
            <w:tcW w:w="60" w:type="dxa"/>
            <w:tcBorders/>
            <w:vAlign w:val="center"/>
          </w:tcPr>
          <w:p>
            <w:pPr>
              <w:pStyle w:val="TableContents"/>
              <w:bidi w:val="0"/>
              <w:spacing w:before="0" w:after="0"/>
              <w:ind w:left="0" w:right="0" w:hanging="0"/>
              <w:jc w:val="left"/>
              <w:rPr/>
            </w:pPr>
            <w:r>
              <w:rPr/>
              <w:t> </w:t>
            </w:r>
          </w:p>
        </w:tc>
        <w:tc>
          <w:tcPr>
            <w:tcW w:w="9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 (646) 669-7272</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(Former Name or Former Address, if Changed Since Last Report)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25" w:type="dxa"/>
        <w:jc w:val="left"/>
        <w:tblInd w:w="0" w:type="dxa"/>
        <w:tblLayout w:type="fixed"/>
        <w:tblCellMar>
          <w:top w:w="0" w:type="dxa"/>
          <w:left w:w="0" w:type="dxa"/>
          <w:bottom w:w="0" w:type="dxa"/>
          <w:right w:w="0" w:type="dxa"/>
        </w:tblCellMar>
      </w:tblPr>
      <w:tblGrid>
        <w:gridCol w:w="230"/>
        <w:gridCol w:w="909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 (b))</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 (c))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Securities registered pursuant to Section</w:t>
      </w:r>
      <w:r>
        <w:rPr>
          <w:rFonts w:ascii="Times New Roman" w:hAnsi="Times New Roman"/>
          <w:caps w:val="false"/>
          <w:smallCaps w:val="false"/>
          <w:sz w:val="20"/>
        </w:rPr>
        <w:t> </w:t>
      </w:r>
      <w:r>
        <w:rPr>
          <w:rFonts w:ascii="Times New Roman" w:hAnsi="Times New Roman"/>
          <w:b/>
          <w:caps w:val="false"/>
          <w:smallCaps w:val="false"/>
          <w:sz w:val="20"/>
        </w:rPr>
        <w:t>12(b) of the Act: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9195" w:type="dxa"/>
        <w:jc w:val="left"/>
        <w:tblInd w:w="0" w:type="dxa"/>
        <w:tblLayout w:type="fixed"/>
        <w:tblCellMar>
          <w:top w:w="0" w:type="dxa"/>
          <w:left w:w="0" w:type="dxa"/>
          <w:bottom w:w="28" w:type="dxa"/>
          <w:right w:w="0" w:type="dxa"/>
        </w:tblCellMar>
      </w:tblPr>
      <w:tblGrid>
        <w:gridCol w:w="3770"/>
        <w:gridCol w:w="60"/>
        <w:gridCol w:w="1610"/>
        <w:gridCol w:w="60"/>
        <w:gridCol w:w="3695"/>
      </w:tblGrid>
      <w:tr>
        <w:trPr/>
        <w:tc>
          <w:tcPr>
            <w:tcW w:w="377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61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6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377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Common Stock, $0.0005 par value per share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61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FLNT</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6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The</w:t>
            </w:r>
            <w:r>
              <w:rPr>
                <w:rFonts w:ascii="Times New Roman" w:hAnsi="Times New Roman"/>
                <w:caps w:val="false"/>
                <w:smallCaps w:val="false"/>
                <w:sz w:val="20"/>
              </w:rPr>
              <w:t> </w:t>
            </w:r>
            <w:r>
              <w:rPr>
                <w:rFonts w:ascii="Times New Roman" w:hAnsi="Times New Roman"/>
                <w:b/>
                <w:caps w:val="false"/>
                <w:smallCaps w:val="false"/>
                <w:sz w:val="20"/>
              </w:rPr>
              <w:t>NASDAQ</w:t>
            </w:r>
            <w:r>
              <w:rPr>
                <w:rFonts w:ascii="Times New Roman" w:hAnsi="Times New Roman"/>
                <w:caps w:val="false"/>
                <w:smallCaps w:val="false"/>
                <w:sz w:val="20"/>
              </w:rPr>
              <w:t> </w:t>
            </w:r>
            <w:r>
              <w:rPr>
                <w:rFonts w:ascii="Times New Roman" w:hAnsi="Times New Roman"/>
                <w:b/>
                <w:caps w:val="false"/>
                <w:smallCaps w:val="false"/>
                <w:sz w:val="20"/>
              </w:rPr>
              <w:t>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7.01. Regulation FD Disclosure.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June 22, 2026, Fluent, Inc. (the "Company") is announcing the launch of Fluent In-Store, its in-store commerce media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In-Store extends the Company's commerce media solutions to physical retail environments, activating on point-of-sale devices following payment completion to deliver identity-resolved offers with full-funnel measurement. The offering is built on a partnership with Bilt Technologies, Inc., a rewards and payments network. The initial deployment is a proof-of-concept at Beyond, Inc. retail locations targeted to launch mid-July to August 2026. Additional information regarding In-Store is available at </w:t>
      </w:r>
      <w:r>
        <w:rPr>
          <w:rFonts w:ascii="Times New Roman" w:hAnsi="Times New Roman"/>
          <w:caps w:val="false"/>
          <w:smallCaps w:val="false"/>
          <w:sz w:val="20"/>
          <w:u w:val="single"/>
        </w:rPr>
        <w:t>http://fluentco.com/in-store/</w:t>
      </w:r>
      <w:r>
        <w:rPr>
          <w:rFonts w:ascii="Times New Roman" w:hAnsi="Times New Roman"/>
          <w:caps w:val="false"/>
          <w:smallCaps w:val="false"/>
          <w:sz w:val="20"/>
        </w:rPr>
        <w:t>.</w:t>
        <w:b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contained in this Item 7.01 shall not be deemed "filed" for purposes of Section 18 of the Securities Exchange Act of 1934, as amended, or otherwise subject to the liabilities of that section, nor shall it be deemed incorporated by reference in any filing under the Securities Act of 1933, as amended, or the Securities Exchange Act of 1934, as amended, except as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840" w:type="dxa"/>
        <w:jc w:val="left"/>
        <w:tblInd w:w="0" w:type="dxa"/>
        <w:tblLayout w:type="fixed"/>
        <w:tblCellMar>
          <w:top w:w="0" w:type="dxa"/>
          <w:left w:w="0" w:type="dxa"/>
          <w:bottom w:w="0" w:type="dxa"/>
          <w:right w:w="0" w:type="dxa"/>
        </w:tblCellMar>
      </w:tblPr>
      <w:tblGrid>
        <w:gridCol w:w="1160"/>
        <w:gridCol w:w="635"/>
        <w:gridCol w:w="1985"/>
        <w:gridCol w:w="60"/>
      </w:tblGrid>
      <w:tr>
        <w:trPr/>
        <w:tc>
          <w:tcPr>
            <w:tcW w:w="1160" w:type="dxa"/>
            <w:tcBorders/>
            <w:vAlign w:val="center"/>
          </w:tcPr>
          <w:p>
            <w:pPr>
              <w:pStyle w:val="TableContents"/>
              <w:bidi w:val="0"/>
              <w:spacing w:before="0" w:after="0"/>
              <w:ind w:left="0" w:right="0" w:hanging="0"/>
              <w:jc w:val="left"/>
              <w:rPr/>
            </w:pPr>
            <w:r>
              <w:rPr/>
              <w:t> </w:t>
            </w:r>
          </w:p>
        </w:tc>
        <w:tc>
          <w:tcPr>
            <w:tcW w:w="2620"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Fluent, Inc.</w:t>
            </w:r>
          </w:p>
        </w:tc>
        <w:tc>
          <w:tcPr>
            <w:tcW w:w="60" w:type="dxa"/>
            <w:tcBorders/>
            <w:vAlign w:val="center"/>
          </w:tcPr>
          <w:p>
            <w:pPr>
              <w:pStyle w:val="TableContents"/>
              <w:bidi w:val="0"/>
              <w:spacing w:before="0" w:after="0"/>
              <w:ind w:left="0" w:right="0" w:hanging="0"/>
              <w:jc w:val="left"/>
              <w:rPr/>
            </w:pPr>
            <w:r>
              <w:rPr/>
              <w:t> </w:t>
            </w:r>
          </w:p>
        </w:tc>
      </w:tr>
      <w:tr>
        <w:trPr/>
        <w:tc>
          <w:tcPr>
            <w:tcW w:w="1160"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pPr>
            <w:r>
              <w:rPr/>
              <w:t> </w:t>
            </w:r>
          </w:p>
        </w:tc>
        <w:tc>
          <w:tcPr>
            <w:tcW w:w="198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1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June 22, 2026</w:t>
            </w:r>
          </w:p>
        </w:tc>
        <w:tc>
          <w:tcPr>
            <w:tcW w:w="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w:t>
            </w:r>
          </w:p>
        </w:tc>
        <w:tc>
          <w:tcPr>
            <w:tcW w:w="198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Donald Patrick</w:t>
            </w:r>
          </w:p>
        </w:tc>
        <w:tc>
          <w:tcPr>
            <w:tcW w:w="60" w:type="dxa"/>
            <w:tcBorders/>
            <w:vAlign w:val="center"/>
          </w:tcPr>
          <w:p>
            <w:pPr>
              <w:pStyle w:val="TableContents"/>
              <w:bidi w:val="0"/>
              <w:spacing w:before="0" w:after="0"/>
              <w:ind w:left="0" w:right="0" w:hanging="0"/>
              <w:jc w:val="left"/>
              <w:rPr/>
            </w:pPr>
            <w:r>
              <w:rPr/>
              <w:t> </w:t>
            </w:r>
          </w:p>
        </w:tc>
      </w:tr>
      <w:tr>
        <w:trPr/>
        <w:tc>
          <w:tcPr>
            <w:tcW w:w="1160"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w:t>
            </w:r>
          </w:p>
        </w:tc>
        <w:tc>
          <w:tcPr>
            <w:tcW w:w="19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Donald Patrick </w:t>
            </w:r>
          </w:p>
        </w:tc>
        <w:tc>
          <w:tcPr>
            <w:tcW w:w="60" w:type="dxa"/>
            <w:tcBorders/>
            <w:vAlign w:val="center"/>
          </w:tcPr>
          <w:p>
            <w:pPr>
              <w:pStyle w:val="TableContents"/>
              <w:bidi w:val="0"/>
              <w:spacing w:before="0" w:after="0"/>
              <w:ind w:left="0" w:right="0" w:hanging="0"/>
              <w:jc w:val="left"/>
              <w:rPr/>
            </w:pPr>
            <w:r>
              <w:rPr/>
              <w:t> </w:t>
            </w:r>
          </w:p>
        </w:tc>
      </w:tr>
      <w:tr>
        <w:trPr/>
        <w:tc>
          <w:tcPr>
            <w:tcW w:w="1160"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w:t>
            </w:r>
          </w:p>
        </w:tc>
        <w:tc>
          <w:tcPr>
            <w:tcW w:w="19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 </w:t>
            </w:r>
          </w:p>
        </w:tc>
        <w:tc>
          <w:tcPr>
            <w:tcW w:w="6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515</Words>
  <Characters>2861</Characters>
  <CharactersWithSpaces>3392</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