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pPr>
      <w:hyperlink w:anchor="toc">
        <w:bookmarkStart w:id="0" w:name="flnt20260630c_10q.htm"/>
        <w:bookmarkStart w:id="1" w:name="ksflnt20260630c_10q"/>
        <w:bookmarkEnd w:id="0"/>
        <w:bookmarkEnd w:id="1"/>
        <w:r>
          <w:rPr>
            <w:rStyle w:val="InternetLink"/>
            <w:rFonts w:ascii="Times New Roman;Times;serif" w:hAnsi="Times New Roman;Times;serif"/>
            <w:sz w:val="20"/>
          </w:rPr>
          <w:t>Table of Contents</w:t>
        </w:r>
      </w:hyperlink>
      <w:r>
        <w:rPr>
          <w:rFonts w:ascii="Times New Roman;Times;serif" w:hAnsi="Times New Roman;Times;serif"/>
          <w:sz w:val="20"/>
        </w:rPr>
        <w:t xml:space="preserve">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rFonts w:ascii="Times New Roman" w:hAnsi="Times New Roman"/>
          <w:sz w:val="24"/>
        </w:rPr>
      </w:pPr>
      <w:r>
        <w:rPr>
          <w:rFonts w:ascii="Times New Roman" w:hAnsi="Times New Roman"/>
          <w:b/>
          <w:sz w:val="24"/>
        </w:rPr>
        <w:t>UNITED STATES</w:t>
      </w:r>
      <w:r>
        <w:rPr>
          <w:rFonts w:ascii="Times New Roman" w:hAnsi="Times New Roman"/>
          <w:sz w:val="24"/>
        </w:rPr>
        <w:t xml:space="preserve"> </w:t>
      </w:r>
    </w:p>
    <w:p>
      <w:pPr>
        <w:pStyle w:val="TextBody"/>
        <w:bidi w:val="0"/>
        <w:spacing w:before="0" w:after="0"/>
        <w:ind w:left="0" w:right="0" w:hanging="0"/>
        <w:jc w:val="center"/>
        <w:rPr>
          <w:rFonts w:ascii="Times New Roman" w:hAnsi="Times New Roman"/>
          <w:sz w:val="24"/>
        </w:rPr>
      </w:pPr>
      <w:r>
        <w:rPr>
          <w:rFonts w:ascii="Times New Roman" w:hAnsi="Times New Roman"/>
          <w:b/>
          <w:sz w:val="24"/>
        </w:rPr>
        <w:t>SECURITIES AND EXCHANGE COMMISSION</w:t>
      </w:r>
      <w:r>
        <w:rPr>
          <w:rFonts w:ascii="Times New Roman" w:hAnsi="Times New Roman"/>
          <w:sz w:val="24"/>
        </w:rPr>
        <w:t xml:space="preserve"> </w:t>
      </w:r>
    </w:p>
    <w:p>
      <w:pPr>
        <w:pStyle w:val="TextBody"/>
        <w:bidi w:val="0"/>
        <w:spacing w:before="0" w:after="0"/>
        <w:ind w:left="0" w:right="0" w:hanging="0"/>
        <w:jc w:val="center"/>
        <w:rPr>
          <w:rFonts w:ascii="Times New Roman" w:hAnsi="Times New Roman"/>
          <w:sz w:val="24"/>
        </w:rPr>
      </w:pPr>
      <w:r>
        <w:rPr>
          <w:rFonts w:ascii="Times New Roman" w:hAnsi="Times New Roman"/>
          <w:b/>
          <w:sz w:val="24"/>
        </w:rPr>
        <w:t>Washington, D.C. 20549</w:t>
      </w:r>
      <w:r>
        <w:rPr>
          <w:rFonts w:ascii="Times New Roman" w:hAnsi="Times New Roman"/>
          <w:sz w:val="24"/>
        </w:rPr>
        <w:t xml:space="preserve">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8"/>
        </w:rPr>
      </w:pPr>
      <w:r>
        <w:rPr>
          <w:rFonts w:ascii="Times New Roman" w:hAnsi="Times New Roman"/>
          <w:b/>
          <w:sz w:val="28"/>
        </w:rPr>
        <w:t>FORM 10-Q</w:t>
      </w:r>
      <w:r>
        <w:rPr>
          <w:rFonts w:ascii="Times New Roman" w:hAnsi="Times New Roman"/>
          <w:sz w:val="28"/>
        </w:rPr>
        <w:t xml:space="preserve">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(Mark One)</w:t>
      </w:r>
      <w:r>
        <w:rPr>
          <w:rFonts w:ascii="Times New Roman;Times;serif" w:hAnsi="Times New Roman;Times;serif"/>
          <w:sz w:val="20"/>
        </w:rPr>
        <w:t xml:space="preserve"> </w:t>
      </w:r>
    </w:p>
    <w:tbl>
      <w:tblPr>
        <w:tblW w:w="10105" w:type="dxa"/>
        <w:jc w:val="left"/>
        <w:tblInd w:w="0" w:type="dxa"/>
        <w:tblLayout w:type="fixed"/>
        <w:tblCellMar>
          <w:top w:w="0" w:type="dxa"/>
          <w:left w:w="0" w:type="dxa"/>
          <w:bottom w:w="0" w:type="dxa"/>
          <w:right w:w="0" w:type="dxa"/>
        </w:tblCellMar>
      </w:tblPr>
      <w:tblGrid>
        <w:gridCol w:w="230"/>
        <w:gridCol w:w="9875"/>
      </w:tblGrid>
      <w:tr>
        <w:trPr/>
        <w:tc>
          <w:tcPr>
            <w:tcW w:w="230" w:type="dxa"/>
            <w:tcBorders/>
            <w:vAlign w:val="center"/>
          </w:tcPr>
          <w:p>
            <w:pPr>
              <w:pStyle w:val="TableContents"/>
              <w:bidi w:val="0"/>
              <w:spacing w:before="0" w:after="0"/>
              <w:ind w:left="0" w:right="0" w:hanging="0"/>
              <w:jc w:val="left"/>
              <w:rPr/>
            </w:pPr>
            <w:r>
              <w:rPr/>
              <w:t>☒</w:t>
            </w:r>
          </w:p>
        </w:tc>
        <w:tc>
          <w:tcPr>
            <w:tcW w:w="98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For the quarterly period ended: June 30, 2026</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or</w:t>
      </w:r>
      <w:r>
        <w:rPr>
          <w:rFonts w:ascii="Times New Roman;Times;serif" w:hAnsi="Times New Roman;Times;serif"/>
          <w:sz w:val="20"/>
        </w:rPr>
        <w:t xml:space="preserve"> </w:t>
      </w:r>
    </w:p>
    <w:p>
      <w:pPr>
        <w:pStyle w:val="TextBody"/>
        <w:bidi w:val="0"/>
        <w:spacing w:before="0" w:after="283"/>
        <w:jc w:val="left"/>
        <w:rPr/>
      </w:pPr>
      <w:r>
        <w:rPr/>
        <w:t> </w:t>
      </w:r>
    </w:p>
    <w:tbl>
      <w:tblPr>
        <w:tblW w:w="10090" w:type="dxa"/>
        <w:jc w:val="left"/>
        <w:tblInd w:w="0" w:type="dxa"/>
        <w:tblLayout w:type="fixed"/>
        <w:tblCellMar>
          <w:top w:w="0" w:type="dxa"/>
          <w:left w:w="0" w:type="dxa"/>
          <w:bottom w:w="0" w:type="dxa"/>
          <w:right w:w="0" w:type="dxa"/>
        </w:tblCellMar>
      </w:tblPr>
      <w:tblGrid>
        <w:gridCol w:w="230"/>
        <w:gridCol w:w="9860"/>
      </w:tblGrid>
      <w:tr>
        <w:trPr/>
        <w:tc>
          <w:tcPr>
            <w:tcW w:w="230" w:type="dxa"/>
            <w:tcBorders/>
            <w:vAlign w:val="center"/>
          </w:tcPr>
          <w:p>
            <w:pPr>
              <w:pStyle w:val="TableContents"/>
              <w:bidi w:val="0"/>
              <w:spacing w:before="0" w:after="0"/>
              <w:ind w:left="0" w:right="0" w:hanging="0"/>
              <w:jc w:val="left"/>
              <w:rPr/>
            </w:pPr>
            <w:r>
              <w:rPr/>
              <w:t>☐</w:t>
            </w:r>
          </w:p>
        </w:tc>
        <w:tc>
          <w:tcPr>
            <w:tcW w:w="986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For the transition period from </w:t>
      </w:r>
      <w:r>
        <w:rPr>
          <w:rFonts w:ascii="Times New Roman;Times;serif" w:hAnsi="Times New Roman;Times;serif"/>
          <w:b/>
          <w:sz w:val="20"/>
          <w:u w:val="single"/>
        </w:rPr>
        <w:t xml:space="preserve">                   </w:t>
      </w:r>
      <w:r>
        <w:rPr>
          <w:rFonts w:ascii="Times New Roman;Times;serif" w:hAnsi="Times New Roman;Times;serif"/>
          <w:b/>
          <w:sz w:val="20"/>
        </w:rPr>
        <w:t xml:space="preserve"> to </w:t>
      </w:r>
      <w:r>
        <w:rPr>
          <w:rFonts w:ascii="Times New Roman;Times;serif" w:hAnsi="Times New Roman;Times;serif"/>
          <w:b/>
          <w:sz w:val="20"/>
          <w:u w:val="single"/>
        </w:rPr>
        <w:t xml:space="preserve">                   </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Commission File Number: 001-37893</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36"/>
        </w:rPr>
      </w:pPr>
      <w:r>
        <w:rPr>
          <w:rFonts w:ascii="Times New Roman;Times;serif" w:hAnsi="Times New Roman;Times;serif"/>
          <w:b/>
          <w:sz w:val="36"/>
        </w:rPr>
        <w:t>FLUENT, INC.</w:t>
      </w:r>
      <w:r>
        <w:rPr>
          <w:rFonts w:ascii="Times New Roman;Times;serif" w:hAnsi="Times New Roman;Times;serif"/>
          <w:sz w:val="36"/>
        </w:rPr>
        <w:t xml:space="preserve">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(Exact name of registrant as specified in its charter)</w:t>
      </w:r>
      <w:r>
        <w:rPr>
          <w:rFonts w:ascii="Times New Roman" w:hAnsi="Times New Roman"/>
          <w:sz w:val="18"/>
        </w:rPr>
        <w:t xml:space="preserve">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3925" w:type="dxa"/>
        <w:jc w:val="left"/>
        <w:tblInd w:w="0" w:type="dxa"/>
        <w:tblLayout w:type="fixed"/>
        <w:tblCellMar>
          <w:top w:w="30" w:type="dxa"/>
          <w:left w:w="30" w:type="dxa"/>
          <w:bottom w:w="30" w:type="dxa"/>
          <w:right w:w="30" w:type="dxa"/>
        </w:tblCellMar>
      </w:tblPr>
      <w:tblGrid>
        <w:gridCol w:w="2420"/>
        <w:gridCol w:w="1505"/>
      </w:tblGrid>
      <w:tr>
        <w:trPr/>
        <w:tc>
          <w:tcPr>
            <w:tcW w:w="2420"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Delaware</w:t>
            </w:r>
          </w:p>
        </w:tc>
        <w:tc>
          <w:tcPr>
            <w:tcW w:w="1505"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77-0688094</w:t>
            </w:r>
          </w:p>
        </w:tc>
      </w:tr>
      <w:tr>
        <w:trPr/>
        <w:tc>
          <w:tcPr>
            <w:tcW w:w="2420"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(State or other jurisdiction of</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incorporation or organization)</w:t>
            </w:r>
          </w:p>
        </w:tc>
        <w:tc>
          <w:tcPr>
            <w:tcW w:w="1505" w:type="dxa"/>
            <w:tcBorders/>
            <w:vAlign w:val="center"/>
          </w:tcPr>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(I.R.S. Employer</w:t>
            </w:r>
          </w:p>
          <w:p>
            <w:pPr>
              <w:pStyle w:val="TableContents"/>
              <w:bidi w:val="0"/>
              <w:spacing w:before="0" w:after="0"/>
              <w:ind w:left="0" w:right="0" w:hanging="0"/>
              <w:jc w:val="center"/>
              <w:rPr>
                <w:rFonts w:ascii="Times New Roman;Times;serif" w:hAnsi="Times New Roman;Times;serif"/>
                <w:b/>
                <w:sz w:val="18"/>
              </w:rPr>
            </w:pPr>
            <w:r>
              <w:rPr>
                <w:rFonts w:ascii="Times New Roman;Times;serif" w:hAnsi="Times New Roman;Times;serif"/>
                <w:b/>
                <w:sz w:val="18"/>
              </w:rPr>
              <w:t>Identification No.)</w:t>
            </w:r>
          </w:p>
        </w:tc>
      </w:tr>
    </w:tbl>
    <w:p>
      <w:pPr>
        <w:pStyle w:val="TextBody"/>
        <w:bidi w:val="0"/>
        <w:spacing w:before="0" w:after="0"/>
        <w:ind w:left="0" w:right="0" w:hanging="0"/>
        <w:jc w:val="center"/>
        <w:rPr/>
      </w:pPr>
      <w:r>
        <w:rPr/>
        <w:t> </w:t>
      </w:r>
    </w:p>
    <w:tbl>
      <w:tblPr>
        <w:tblW w:w="5050" w:type="dxa"/>
        <w:jc w:val="left"/>
        <w:tblInd w:w="0" w:type="dxa"/>
        <w:tblLayout w:type="fixed"/>
        <w:tblCellMar>
          <w:top w:w="0" w:type="dxa"/>
          <w:left w:w="0" w:type="dxa"/>
          <w:bottom w:w="0" w:type="dxa"/>
          <w:right w:w="0" w:type="dxa"/>
        </w:tblCellMar>
      </w:tblPr>
      <w:tblGrid>
        <w:gridCol w:w="3920"/>
        <w:gridCol w:w="1130"/>
      </w:tblGrid>
      <w:tr>
        <w:trPr/>
        <w:tc>
          <w:tcPr>
            <w:tcW w:w="3920" w:type="dxa"/>
            <w:tcBorders/>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300 Vesey Street, 9th Floor</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New York, New York</w:t>
            </w:r>
          </w:p>
        </w:tc>
        <w:tc>
          <w:tcPr>
            <w:tcW w:w="1130" w:type="dxa"/>
            <w:tcBorders/>
            <w:vAlign w:val="center"/>
          </w:tcPr>
          <w:p>
            <w:pPr>
              <w:pStyle w:val="TableContents"/>
              <w:bidi w:val="0"/>
              <w:spacing w:before="0" w:after="283"/>
              <w:jc w:val="center"/>
              <w:rPr>
                <w:b/>
              </w:rPr>
            </w:pPr>
            <w:r>
              <w:rPr>
                <w:b/>
              </w:rPr>
              <w:t>10282</w:t>
            </w:r>
          </w:p>
        </w:tc>
      </w:tr>
      <w:tr>
        <w:trPr/>
        <w:tc>
          <w:tcPr>
            <w:tcW w:w="3920" w:type="dxa"/>
            <w:tcBorders/>
            <w:vAlign w:val="center"/>
          </w:tcPr>
          <w:p>
            <w:pPr>
              <w:pStyle w:val="TableContents"/>
              <w:bidi w:val="0"/>
              <w:spacing w:before="0" w:after="283"/>
              <w:jc w:val="center"/>
              <w:rPr>
                <w:b/>
              </w:rPr>
            </w:pPr>
            <w:r>
              <w:rPr>
                <w:b/>
              </w:rPr>
              <w:t>(Address of principal executive offices)</w:t>
            </w:r>
          </w:p>
        </w:tc>
        <w:tc>
          <w:tcPr>
            <w:tcW w:w="1130" w:type="dxa"/>
            <w:tcBorders/>
            <w:vAlign w:val="center"/>
          </w:tcPr>
          <w:p>
            <w:pPr>
              <w:pStyle w:val="TableContents"/>
              <w:bidi w:val="0"/>
              <w:spacing w:before="0" w:after="283"/>
              <w:jc w:val="center"/>
              <w:rPr>
                <w:b/>
              </w:rPr>
            </w:pPr>
            <w:r>
              <w:rPr>
                <w:b/>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(646) 669-7272</w:t>
      </w:r>
      <w:r>
        <w:rPr>
          <w:rFonts w:ascii="Times New Roman" w:hAnsi="Times New Roman"/>
          <w:sz w:val="18"/>
        </w:rPr>
        <w:t xml:space="preserve">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(Registrant's telephone number, including area code)</w:t>
      </w:r>
      <w:r>
        <w:rPr>
          <w:rFonts w:ascii="Times New Roman" w:hAnsi="Times New Roman"/>
          <w:sz w:val="18"/>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18"/>
        </w:rPr>
      </w:pPr>
      <w:r>
        <w:rPr>
          <w:rFonts w:ascii="Times New Roman;Times;serif" w:hAnsi="Times New Roman;Times;serif"/>
          <w:b/>
          <w:sz w:val="18"/>
        </w:rPr>
        <w:t>Not Applicable </w:t>
      </w:r>
      <w:r>
        <w:rPr>
          <w:rFonts w:ascii="Times New Roman;Times;serif" w:hAnsi="Times New Roman;Times;serif"/>
          <w:sz w:val="18"/>
        </w:rPr>
        <w:t xml:space="preserve"> </w:t>
      </w:r>
    </w:p>
    <w:p>
      <w:pPr>
        <w:pStyle w:val="TextBody"/>
        <w:bidi w:val="0"/>
        <w:spacing w:before="0" w:after="0"/>
        <w:ind w:left="0" w:right="0" w:hanging="0"/>
        <w:jc w:val="center"/>
        <w:rPr>
          <w:rFonts w:ascii="Times New Roman" w:hAnsi="Times New Roman"/>
          <w:sz w:val="18"/>
        </w:rPr>
      </w:pPr>
      <w:r>
        <w:rPr>
          <w:rFonts w:ascii="Times New Roman" w:hAnsi="Times New Roman"/>
          <w:b/>
          <w:sz w:val="18"/>
        </w:rPr>
        <w:t>(Former name, former address and former fiscal year, if changed since last report)</w:t>
      </w:r>
      <w:r>
        <w:rPr>
          <w:rFonts w:ascii="Times New Roman" w:hAnsi="Times New Roman"/>
          <w:sz w:val="18"/>
        </w:rPr>
        <w:t xml:space="preserve">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Securities registered pursuant to Section 12(b) of the Act:</w:t>
      </w:r>
    </w:p>
    <w:p>
      <w:pPr>
        <w:pStyle w:val="TextBody"/>
        <w:bidi w:val="0"/>
        <w:spacing w:before="0" w:after="0"/>
        <w:ind w:left="0" w:right="0" w:hanging="0"/>
        <w:jc w:val="center"/>
        <w:rPr/>
      </w:pPr>
      <w:r>
        <w:rPr/>
        <w:t> </w:t>
      </w:r>
    </w:p>
    <w:tbl>
      <w:tblPr>
        <w:tblW w:w="8610" w:type="dxa"/>
        <w:jc w:val="left"/>
        <w:tblInd w:w="0" w:type="dxa"/>
        <w:tblLayout w:type="fixed"/>
        <w:tblCellMar>
          <w:top w:w="30" w:type="dxa"/>
          <w:left w:w="30" w:type="dxa"/>
          <w:bottom w:w="30" w:type="dxa"/>
          <w:right w:w="30" w:type="dxa"/>
        </w:tblCellMar>
      </w:tblPr>
      <w:tblGrid>
        <w:gridCol w:w="3680"/>
        <w:gridCol w:w="120"/>
        <w:gridCol w:w="920"/>
        <w:gridCol w:w="120"/>
        <w:gridCol w:w="3770"/>
      </w:tblGrid>
      <w:tr>
        <w:trPr/>
        <w:tc>
          <w:tcPr>
            <w:tcW w:w="3680" w:type="dxa"/>
            <w:tcBorders/>
            <w:vAlign w:val="center"/>
          </w:tcPr>
          <w:p>
            <w:pPr>
              <w:pStyle w:val="TableContents"/>
              <w:bidi w:val="0"/>
              <w:spacing w:before="0" w:after="0"/>
              <w:ind w:left="0" w:right="0" w:hanging="0"/>
              <w:jc w:val="left"/>
              <w:rPr/>
            </w:pPr>
            <w:r>
              <w:rPr/>
              <w:t> </w:t>
            </w:r>
          </w:p>
        </w:tc>
        <w:tc>
          <w:tcPr>
            <w:tcW w:w="120" w:type="dxa"/>
            <w:tcBorders/>
            <w:vAlign w:val="center"/>
          </w:tcPr>
          <w:p>
            <w:pPr>
              <w:pStyle w:val="TableContents"/>
              <w:bidi w:val="0"/>
              <w:spacing w:before="0" w:after="0"/>
              <w:ind w:left="0" w:right="0" w:hanging="0"/>
              <w:jc w:val="left"/>
              <w:rPr/>
            </w:pPr>
            <w:r>
              <w:rPr/>
              <w:t> </w:t>
            </w:r>
          </w:p>
        </w:tc>
        <w:tc>
          <w:tcPr>
            <w:tcW w:w="920" w:type="dxa"/>
            <w:tcBorders/>
            <w:vAlign w:val="center"/>
          </w:tcPr>
          <w:p>
            <w:pPr>
              <w:pStyle w:val="TableContents"/>
              <w:bidi w:val="0"/>
              <w:spacing w:before="0" w:after="0"/>
              <w:ind w:left="0" w:right="0" w:hanging="0"/>
              <w:jc w:val="left"/>
              <w:rPr/>
            </w:pPr>
            <w:r>
              <w:rPr/>
              <w:t> </w:t>
            </w:r>
          </w:p>
        </w:tc>
        <w:tc>
          <w:tcPr>
            <w:tcW w:w="120" w:type="dxa"/>
            <w:tcBorders/>
            <w:vAlign w:val="center"/>
          </w:tcPr>
          <w:p>
            <w:pPr>
              <w:pStyle w:val="TableContents"/>
              <w:bidi w:val="0"/>
              <w:spacing w:before="0" w:after="0"/>
              <w:ind w:left="0" w:right="0" w:hanging="0"/>
              <w:jc w:val="left"/>
              <w:rPr/>
            </w:pPr>
            <w:r>
              <w:rPr/>
              <w:t> </w:t>
            </w:r>
          </w:p>
        </w:tc>
        <w:tc>
          <w:tcPr>
            <w:tcW w:w="3770" w:type="dxa"/>
            <w:tcBorders/>
            <w:vAlign w:val="center"/>
          </w:tcPr>
          <w:p>
            <w:pPr>
              <w:pStyle w:val="TableContents"/>
              <w:bidi w:val="0"/>
              <w:spacing w:before="0" w:after="0"/>
              <w:ind w:left="0" w:right="0" w:hanging="0"/>
              <w:jc w:val="left"/>
              <w:rPr/>
            </w:pPr>
            <w:r>
              <w:rPr/>
              <w:t> </w:t>
            </w:r>
          </w:p>
        </w:tc>
      </w:tr>
      <w:tr>
        <w:trPr/>
        <w:tc>
          <w:tcPr>
            <w:tcW w:w="368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Title of each class</w:t>
            </w:r>
          </w:p>
        </w:tc>
        <w:tc>
          <w:tcPr>
            <w:tcW w:w="120" w:type="dxa"/>
            <w:tcBorders/>
            <w:vAlign w:val="center"/>
          </w:tcPr>
          <w:p>
            <w:pPr>
              <w:pStyle w:val="TableContents"/>
              <w:bidi w:val="0"/>
              <w:spacing w:before="0" w:after="0"/>
              <w:ind w:left="0" w:right="0" w:hanging="0"/>
              <w:jc w:val="left"/>
              <w:rPr/>
            </w:pPr>
            <w:r>
              <w:rPr/>
              <w:t> </w:t>
            </w:r>
          </w:p>
        </w:tc>
        <w:tc>
          <w:tcPr>
            <w:tcW w:w="92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Trading</w:t>
            </w:r>
          </w:p>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Symbol(s)</w:t>
            </w:r>
          </w:p>
        </w:tc>
        <w:tc>
          <w:tcPr>
            <w:tcW w:w="120" w:type="dxa"/>
            <w:tcBorders/>
            <w:vAlign w:val="center"/>
          </w:tcPr>
          <w:p>
            <w:pPr>
              <w:pStyle w:val="TableContents"/>
              <w:bidi w:val="0"/>
              <w:spacing w:before="0" w:after="0"/>
              <w:ind w:left="0" w:right="0" w:hanging="0"/>
              <w:jc w:val="left"/>
              <w:rPr/>
            </w:pPr>
            <w:r>
              <w:rPr/>
              <w:t> </w:t>
            </w:r>
          </w:p>
        </w:tc>
        <w:tc>
          <w:tcPr>
            <w:tcW w:w="3770" w:type="dxa"/>
            <w:tcBorders>
              <w:bottom w:val="single" w:sz="2" w:space="0" w:color="000000"/>
            </w:tcBorders>
            <w:tcMar>
              <w:top w:w="0" w:type="dxa"/>
              <w:left w:w="0" w:type="dxa"/>
              <w:bottom w:w="28" w:type="dxa"/>
              <w:right w:w="0" w:type="dxa"/>
            </w:tcMar>
            <w:vAlign w:val="center"/>
          </w:tcPr>
          <w:p>
            <w:pPr>
              <w:pStyle w:val="TableContents"/>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Name of each exchange on which registered</w:t>
            </w:r>
          </w:p>
        </w:tc>
      </w:tr>
      <w:tr>
        <w:trPr/>
        <w:tc>
          <w:tcPr>
            <w:tcW w:w="368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Common Stock, $0.0005 par value per share</w:t>
            </w:r>
          </w:p>
        </w:tc>
        <w:tc>
          <w:tcPr>
            <w:tcW w:w="120" w:type="dxa"/>
            <w:tcBorders/>
            <w:vAlign w:val="center"/>
          </w:tcPr>
          <w:p>
            <w:pPr>
              <w:pStyle w:val="TableContents"/>
              <w:bidi w:val="0"/>
              <w:spacing w:before="0" w:after="0"/>
              <w:ind w:left="0" w:right="0" w:hanging="0"/>
              <w:jc w:val="left"/>
              <w:rPr/>
            </w:pPr>
            <w:r>
              <w:rPr/>
              <w:t> </w:t>
            </w:r>
          </w:p>
        </w:tc>
        <w:tc>
          <w:tcPr>
            <w:tcW w:w="92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FLNT</w:t>
            </w:r>
          </w:p>
        </w:tc>
        <w:tc>
          <w:tcPr>
            <w:tcW w:w="120" w:type="dxa"/>
            <w:tcBorders/>
            <w:vAlign w:val="center"/>
          </w:tcPr>
          <w:p>
            <w:pPr>
              <w:pStyle w:val="TableContents"/>
              <w:bidi w:val="0"/>
              <w:spacing w:before="0" w:after="0"/>
              <w:ind w:left="0" w:right="0" w:hanging="0"/>
              <w:jc w:val="left"/>
              <w:rPr/>
            </w:pPr>
            <w:r>
              <w:rPr/>
              <w:t> </w:t>
            </w:r>
          </w:p>
        </w:tc>
        <w:tc>
          <w:tcPr>
            <w:tcW w:w="3770" w:type="dxa"/>
            <w:tcBorders/>
            <w:tcMar>
              <w:top w:w="0" w:type="dxa"/>
              <w:left w:w="0" w:type="dxa"/>
              <w:bottom w:w="0" w:type="dxa"/>
              <w:right w:w="0" w:type="dxa"/>
            </w:tcMar>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The NASDAQ Stock Market, LLC</w:t>
            </w:r>
          </w:p>
        </w:tc>
      </w:tr>
    </w:tbl>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  Yes    ☐  No</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  Yes    ☐  No</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w:t>
      </w:r>
    </w:p>
    <w:tbl>
      <w:tblPr>
        <w:tblW w:w="4565" w:type="dxa"/>
        <w:jc w:val="left"/>
        <w:tblInd w:w="0" w:type="dxa"/>
        <w:tblLayout w:type="fixed"/>
        <w:tblCellMar>
          <w:top w:w="0" w:type="dxa"/>
          <w:left w:w="0" w:type="dxa"/>
          <w:bottom w:w="0" w:type="dxa"/>
          <w:right w:w="0" w:type="dxa"/>
        </w:tblCellMar>
      </w:tblPr>
      <w:tblGrid>
        <w:gridCol w:w="1820"/>
        <w:gridCol w:w="60"/>
        <w:gridCol w:w="230"/>
        <w:gridCol w:w="2225"/>
        <w:gridCol w:w="230"/>
      </w:tblGrid>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Large accelerated filer</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Accelerated filer</w:t>
            </w:r>
          </w:p>
        </w:tc>
        <w:tc>
          <w:tcPr>
            <w:tcW w:w="230" w:type="dxa"/>
            <w:tcBorders/>
            <w:vAlign w:val="center"/>
          </w:tcPr>
          <w:p>
            <w:pPr>
              <w:pStyle w:val="TableContents"/>
              <w:bidi w:val="0"/>
              <w:spacing w:before="0" w:after="283"/>
              <w:jc w:val="left"/>
              <w:rPr/>
            </w:pPr>
            <w:r>
              <w:rPr/>
              <w:t>☐</w:t>
            </w:r>
          </w:p>
        </w:tc>
      </w:tr>
      <w:tr>
        <w:trPr/>
        <w:tc>
          <w:tcPr>
            <w:tcW w:w="18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Non-accelerated filer</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283"/>
              <w:jc w:val="left"/>
              <w:rPr/>
            </w:pPr>
            <w:r>
              <w:rPr/>
              <w:t>☒</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Smaller reporting company</w:t>
            </w:r>
          </w:p>
        </w:tc>
        <w:tc>
          <w:tcPr>
            <w:tcW w:w="230" w:type="dxa"/>
            <w:tcBorders/>
            <w:vAlign w:val="center"/>
          </w:tcPr>
          <w:p>
            <w:pPr>
              <w:pStyle w:val="TableContents"/>
              <w:bidi w:val="0"/>
              <w:spacing w:before="0" w:after="0"/>
              <w:ind w:left="0" w:right="0" w:hanging="0"/>
              <w:jc w:val="left"/>
              <w:rPr/>
            </w:pPr>
            <w:r>
              <w:rPr/>
              <w:t>☒</w:t>
            </w:r>
          </w:p>
        </w:tc>
      </w:tr>
      <w:tr>
        <w:trPr/>
        <w:tc>
          <w:tcPr>
            <w:tcW w:w="1820"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230" w:type="dxa"/>
            <w:tcBorders/>
            <w:vAlign w:val="center"/>
          </w:tcPr>
          <w:p>
            <w:pPr>
              <w:pStyle w:val="TableContents"/>
              <w:bidi w:val="0"/>
              <w:spacing w:before="0" w:after="0"/>
              <w:ind w:left="0" w:right="0" w:hanging="0"/>
              <w:jc w:val="left"/>
              <w:rPr/>
            </w:pPr>
            <w:r>
              <w:rPr/>
              <w:t> </w:t>
            </w:r>
          </w:p>
        </w:tc>
        <w:tc>
          <w:tcPr>
            <w:tcW w:w="222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Emerging growth company</w:t>
            </w:r>
          </w:p>
        </w:tc>
        <w:tc>
          <w:tcPr>
            <w:tcW w:w="230" w:type="dxa"/>
            <w:tcBorders/>
            <w:vAlign w:val="center"/>
          </w:tcPr>
          <w:p>
            <w:pPr>
              <w:pStyle w:val="TableContents"/>
              <w:bidi w:val="0"/>
              <w:spacing w:before="0" w:after="0"/>
              <w:ind w:left="0" w:right="0" w:hanging="0"/>
              <w:jc w:val="left"/>
              <w:rPr/>
            </w:pPr>
            <w:r>
              <w:rPr/>
              <w:t>☐</w:t>
            </w:r>
          </w:p>
        </w:tc>
      </w:tr>
    </w:tbl>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Indicate by check mark whether the registrant is a shell company (as defined in Rule 12b-2 of the Exchange Act).    Yes  ☐    No  ☒</w:t>
      </w:r>
    </w:p>
    <w:p>
      <w:pPr>
        <w:pStyle w:val="TextBody"/>
        <w:bidi w:val="0"/>
        <w:spacing w:before="180" w:after="180"/>
        <w:ind w:left="0" w:right="0" w:hanging="0"/>
        <w:jc w:val="both"/>
        <w:rPr>
          <w:rFonts w:ascii="Times New Roman;Times;serif" w:hAnsi="Times New Roman;Times;serif"/>
          <w:sz w:val="20"/>
        </w:rPr>
      </w:pPr>
      <w:r>
        <w:rPr>
          <w:rFonts w:ascii="Times New Roman;Times;serif" w:hAnsi="Times New Roman;Times;serif"/>
          <w:sz w:val="20"/>
        </w:rPr>
        <w:t>As of August 10, 2026, the registrant had 31,607,086 shares of common stock, $0.0005 par value per share, outstanding.</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2" w:name="toc"/>
      <w:bookmarkEnd w:id="2"/>
      <w:r>
        <w:rPr>
          <w:rFonts w:ascii="Times New Roman;Times;serif" w:hAnsi="Times New Roman;Times;serif"/>
          <w:b/>
          <w:sz w:val="20"/>
        </w:rPr>
        <w:t>FLUENT, INC.</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TABLE OF CONTENTS FOR FORM 10-Q</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50"/>
        <w:gridCol w:w="8939"/>
        <w:gridCol w:w="516"/>
      </w:tblGrid>
      <w:tr>
        <w:trPr/>
        <w:tc>
          <w:tcPr>
            <w:tcW w:w="750" w:type="dxa"/>
            <w:tcBorders/>
            <w:vAlign w:val="center"/>
          </w:tcPr>
          <w:p>
            <w:pPr>
              <w:pStyle w:val="TableContents"/>
              <w:bidi w:val="0"/>
              <w:spacing w:before="0" w:after="0"/>
              <w:ind w:left="0" w:right="0" w:hanging="0"/>
              <w:jc w:val="left"/>
              <w:rPr/>
            </w:pPr>
            <w:r>
              <w:rPr/>
              <w:t> </w:t>
            </w:r>
          </w:p>
        </w:tc>
        <w:tc>
          <w:tcPr>
            <w:tcW w:w="8939"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9689" w:type="dxa"/>
            <w:gridSpan w:val="2"/>
            <w:tcBorders/>
            <w:vAlign w:val="center"/>
          </w:tcPr>
          <w:p>
            <w:pPr>
              <w:pStyle w:val="TableContents"/>
              <w:bidi w:val="0"/>
              <w:spacing w:before="0" w:after="0"/>
              <w:ind w:left="0" w:right="0" w:hanging="0"/>
              <w:jc w:val="left"/>
              <w:rPr/>
            </w:pPr>
            <w:hyperlink w:anchor="part1">
              <w:r>
                <w:rPr>
                  <w:rStyle w:val="InternetLink"/>
                  <w:rFonts w:ascii="Times New Roman" w:hAnsi="Times New Roman"/>
                  <w:sz w:val="20"/>
                </w:rPr>
                <w:t>PART I - FINANCIAL INFORMATION</w:t>
              </w:r>
            </w:hyperlink>
          </w:p>
        </w:tc>
        <w:tc>
          <w:tcPr>
            <w:tcW w:w="516" w:type="dxa"/>
            <w:tcBorders/>
            <w:vAlign w:val="center"/>
          </w:tcPr>
          <w:p>
            <w:pPr>
              <w:pStyle w:val="TableContents"/>
              <w:bidi w:val="0"/>
              <w:spacing w:before="0" w:after="0"/>
              <w:ind w:left="0" w:right="0" w:hanging="0"/>
              <w:jc w:val="left"/>
              <w:rPr/>
            </w:pPr>
            <w:r>
              <w:rPr/>
              <w:t> </w:t>
            </w:r>
          </w:p>
        </w:tc>
      </w:tr>
      <w:tr>
        <w:trPr/>
        <w:tc>
          <w:tcPr>
            <w:tcW w:w="750" w:type="dxa"/>
            <w:tcBorders/>
            <w:vAlign w:val="center"/>
          </w:tcPr>
          <w:p>
            <w:pPr>
              <w:pStyle w:val="TableContents"/>
              <w:bidi w:val="0"/>
              <w:spacing w:before="0" w:after="0"/>
              <w:ind w:left="0" w:right="0" w:hanging="0"/>
              <w:jc w:val="left"/>
              <w:rPr/>
            </w:pPr>
            <w:r>
              <w:rPr/>
              <w:t> </w:t>
            </w:r>
          </w:p>
        </w:tc>
        <w:tc>
          <w:tcPr>
            <w:tcW w:w="8939"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r>
      <w:tr>
        <w:trPr/>
        <w:tc>
          <w:tcPr>
            <w:tcW w:w="75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1.</w:t>
            </w:r>
          </w:p>
        </w:tc>
        <w:tc>
          <w:tcPr>
            <w:tcW w:w="8939" w:type="dxa"/>
            <w:tcBorders/>
            <w:shd w:fill="FFFFFF" w:val="clear"/>
            <w:vAlign w:val="center"/>
          </w:tcPr>
          <w:p>
            <w:pPr>
              <w:pStyle w:val="TableContents"/>
              <w:bidi w:val="0"/>
              <w:spacing w:before="0" w:after="0"/>
              <w:ind w:left="0" w:right="0" w:hanging="0"/>
              <w:jc w:val="left"/>
              <w:rPr/>
            </w:pPr>
            <w:hyperlink w:anchor="item1">
              <w:r>
                <w:rPr>
                  <w:rStyle w:val="InternetLink"/>
                  <w:rFonts w:ascii="Times New Roman" w:hAnsi="Times New Roman"/>
                  <w:sz w:val="20"/>
                </w:rPr>
                <w:t>Financial Statements (unaudited)</w:t>
              </w:r>
            </w:hyperlink>
          </w:p>
        </w:tc>
        <w:tc>
          <w:tcPr>
            <w:tcW w:w="516" w:type="dxa"/>
            <w:tcBorders/>
            <w:shd w:fill="FFFFFF" w:val="clear"/>
            <w:vAlign w:val="center"/>
          </w:tcPr>
          <w:p>
            <w:pPr>
              <w:pStyle w:val="TableContents"/>
              <w:bidi w:val="0"/>
              <w:spacing w:before="0" w:after="0"/>
              <w:ind w:left="0" w:right="0" w:hanging="0"/>
              <w:jc w:val="left"/>
              <w:rPr/>
            </w:pPr>
            <w:r>
              <w:rPr/>
              <w:t> </w:t>
            </w:r>
          </w:p>
        </w:tc>
      </w:tr>
      <w:tr>
        <w:trPr/>
        <w:tc>
          <w:tcPr>
            <w:tcW w:w="750" w:type="dxa"/>
            <w:tcBorders/>
            <w:vAlign w:val="center"/>
          </w:tcPr>
          <w:p>
            <w:pPr>
              <w:pStyle w:val="TableContents"/>
              <w:bidi w:val="0"/>
              <w:spacing w:before="0" w:after="0"/>
              <w:ind w:left="0" w:right="0" w:hanging="0"/>
              <w:jc w:val="left"/>
              <w:rPr/>
            </w:pPr>
            <w:r>
              <w:rPr/>
              <w:t> </w:t>
            </w:r>
          </w:p>
        </w:tc>
        <w:tc>
          <w:tcPr>
            <w:tcW w:w="8939" w:type="dxa"/>
            <w:tcBorders/>
            <w:vAlign w:val="center"/>
          </w:tcPr>
          <w:p>
            <w:pPr>
              <w:pStyle w:val="TableContents"/>
              <w:bidi w:val="0"/>
              <w:spacing w:before="0" w:after="0"/>
              <w:ind w:left="0" w:right="0" w:hanging="0"/>
              <w:jc w:val="left"/>
              <w:rPr/>
            </w:pPr>
            <w:hyperlink w:anchor="balsheet">
              <w:r>
                <w:rPr>
                  <w:rStyle w:val="InternetLink"/>
                  <w:rFonts w:ascii="Times New Roman" w:hAnsi="Times New Roman"/>
                  <w:sz w:val="20"/>
                </w:rPr>
                <w:t>Consolidated Balance Sheets as of June 30, 2026 and December 31, 2025</w:t>
              </w:r>
            </w:hyperlink>
          </w:p>
        </w:tc>
        <w:tc>
          <w:tcPr>
            <w:tcW w:w="516" w:type="dxa"/>
            <w:tcBorders/>
            <w:vAlign w:val="center"/>
          </w:tcPr>
          <w:p>
            <w:pPr>
              <w:pStyle w:val="TableContents"/>
              <w:bidi w:val="0"/>
              <w:spacing w:before="0" w:after="0"/>
              <w:ind w:left="0" w:right="0" w:hanging="0"/>
              <w:jc w:val="center"/>
              <w:rPr/>
            </w:pPr>
            <w:hyperlink w:anchor="balsheet">
              <w:r>
                <w:rPr>
                  <w:rStyle w:val="InternetLink"/>
                  <w:rFonts w:ascii="Times New Roman" w:hAnsi="Times New Roman"/>
                  <w:sz w:val="20"/>
                </w:rPr>
                <w:t>2</w:t>
              </w:r>
            </w:hyperlink>
          </w:p>
        </w:tc>
      </w:tr>
      <w:tr>
        <w:trPr/>
        <w:tc>
          <w:tcPr>
            <w:tcW w:w="750" w:type="dxa"/>
            <w:tcBorders/>
            <w:vAlign w:val="center"/>
          </w:tcPr>
          <w:p>
            <w:pPr>
              <w:pStyle w:val="TableContents"/>
              <w:bidi w:val="0"/>
              <w:spacing w:before="0" w:after="0"/>
              <w:ind w:left="0" w:right="0" w:hanging="0"/>
              <w:jc w:val="left"/>
              <w:rPr/>
            </w:pPr>
            <w:r>
              <w:rPr/>
              <w:t> </w:t>
            </w:r>
          </w:p>
        </w:tc>
        <w:tc>
          <w:tcPr>
            <w:tcW w:w="8939" w:type="dxa"/>
            <w:tcBorders/>
            <w:vAlign w:val="center"/>
          </w:tcPr>
          <w:p>
            <w:pPr>
              <w:pStyle w:val="TableContents"/>
              <w:bidi w:val="0"/>
              <w:spacing w:before="0" w:after="0"/>
              <w:ind w:left="0" w:right="0" w:hanging="0"/>
              <w:jc w:val="left"/>
              <w:rPr/>
            </w:pPr>
            <w:hyperlink w:anchor="stateofop">
              <w:r>
                <w:rPr>
                  <w:rStyle w:val="InternetLink"/>
                  <w:rFonts w:ascii="Times New Roman" w:hAnsi="Times New Roman"/>
                  <w:sz w:val="20"/>
                </w:rPr>
                <w:t>Consolidated Statements of Operations for the three and six months ended June 30, 2026 and 2025</w:t>
              </w:r>
            </w:hyperlink>
          </w:p>
        </w:tc>
        <w:tc>
          <w:tcPr>
            <w:tcW w:w="516" w:type="dxa"/>
            <w:tcBorders/>
            <w:vAlign w:val="center"/>
          </w:tcPr>
          <w:p>
            <w:pPr>
              <w:pStyle w:val="TableContents"/>
              <w:bidi w:val="0"/>
              <w:spacing w:before="0" w:after="0"/>
              <w:ind w:left="0" w:right="0" w:hanging="0"/>
              <w:jc w:val="center"/>
              <w:rPr/>
            </w:pPr>
            <w:hyperlink w:anchor="stateofop">
              <w:r>
                <w:rPr>
                  <w:rStyle w:val="InternetLink"/>
                  <w:rFonts w:ascii="Times New Roman" w:hAnsi="Times New Roman"/>
                  <w:sz w:val="20"/>
                </w:rPr>
                <w:t>3</w:t>
              </w:r>
            </w:hyperlink>
          </w:p>
        </w:tc>
      </w:tr>
      <w:tr>
        <w:trPr/>
        <w:tc>
          <w:tcPr>
            <w:tcW w:w="750" w:type="dxa"/>
            <w:tcBorders/>
            <w:vAlign w:val="center"/>
          </w:tcPr>
          <w:p>
            <w:pPr>
              <w:pStyle w:val="TableContents"/>
              <w:bidi w:val="0"/>
              <w:spacing w:before="0" w:after="0"/>
              <w:ind w:left="0" w:right="0" w:hanging="0"/>
              <w:jc w:val="left"/>
              <w:rPr/>
            </w:pPr>
            <w:r>
              <w:rPr/>
              <w:t> </w:t>
            </w:r>
          </w:p>
        </w:tc>
        <w:tc>
          <w:tcPr>
            <w:tcW w:w="8939" w:type="dxa"/>
            <w:tcBorders/>
            <w:vAlign w:val="center"/>
          </w:tcPr>
          <w:p>
            <w:pPr>
              <w:pStyle w:val="TableContents"/>
              <w:bidi w:val="0"/>
              <w:spacing w:before="0" w:after="0"/>
              <w:ind w:left="0" w:right="0" w:hanging="0"/>
              <w:jc w:val="left"/>
              <w:rPr/>
            </w:pPr>
            <w:hyperlink w:anchor="equity">
              <w:r>
                <w:rPr>
                  <w:rStyle w:val="InternetLink"/>
                  <w:rFonts w:ascii="Times New Roman" w:hAnsi="Times New Roman"/>
                  <w:sz w:val="20"/>
                </w:rPr>
                <w:t>Consolidated Statements of Changes in Shareholders' Equity for the three and six months ended June 30, 2026 and 2025</w:t>
              </w:r>
            </w:hyperlink>
          </w:p>
        </w:tc>
        <w:tc>
          <w:tcPr>
            <w:tcW w:w="516" w:type="dxa"/>
            <w:tcBorders/>
            <w:vAlign w:val="center"/>
          </w:tcPr>
          <w:p>
            <w:pPr>
              <w:pStyle w:val="TableContents"/>
              <w:bidi w:val="0"/>
              <w:spacing w:before="0" w:after="0"/>
              <w:ind w:left="0" w:right="0" w:hanging="0"/>
              <w:jc w:val="center"/>
              <w:rPr/>
            </w:pPr>
            <w:hyperlink w:anchor="equity">
              <w:r>
                <w:rPr>
                  <w:rStyle w:val="InternetLink"/>
                  <w:rFonts w:ascii="Times New Roman" w:hAnsi="Times New Roman"/>
                  <w:sz w:val="20"/>
                </w:rPr>
                <w:t>4</w:t>
              </w:r>
            </w:hyperlink>
          </w:p>
        </w:tc>
      </w:tr>
      <w:tr>
        <w:trPr/>
        <w:tc>
          <w:tcPr>
            <w:tcW w:w="750" w:type="dxa"/>
            <w:tcBorders/>
            <w:vAlign w:val="center"/>
          </w:tcPr>
          <w:p>
            <w:pPr>
              <w:pStyle w:val="TableContents"/>
              <w:bidi w:val="0"/>
              <w:spacing w:before="0" w:after="0"/>
              <w:ind w:left="0" w:right="0" w:hanging="0"/>
              <w:jc w:val="left"/>
              <w:rPr/>
            </w:pPr>
            <w:r>
              <w:rPr/>
              <w:t> </w:t>
            </w:r>
          </w:p>
        </w:tc>
        <w:tc>
          <w:tcPr>
            <w:tcW w:w="8939" w:type="dxa"/>
            <w:tcBorders/>
            <w:vAlign w:val="center"/>
          </w:tcPr>
          <w:p>
            <w:pPr>
              <w:pStyle w:val="TableContents"/>
              <w:bidi w:val="0"/>
              <w:spacing w:before="0" w:after="0"/>
              <w:ind w:left="0" w:right="0" w:hanging="0"/>
              <w:jc w:val="left"/>
              <w:rPr/>
            </w:pPr>
            <w:hyperlink w:anchor="cashflow">
              <w:r>
                <w:rPr>
                  <w:rStyle w:val="InternetLink"/>
                  <w:rFonts w:ascii="Times New Roman" w:hAnsi="Times New Roman"/>
                  <w:sz w:val="20"/>
                </w:rPr>
                <w:t>Consolidated Statements of Cash Flows for the six months ended June 30, 2026 and 2025</w:t>
              </w:r>
            </w:hyperlink>
          </w:p>
        </w:tc>
        <w:tc>
          <w:tcPr>
            <w:tcW w:w="516" w:type="dxa"/>
            <w:tcBorders/>
            <w:vAlign w:val="center"/>
          </w:tcPr>
          <w:p>
            <w:pPr>
              <w:pStyle w:val="TableContents"/>
              <w:bidi w:val="0"/>
              <w:spacing w:before="0" w:after="0"/>
              <w:ind w:left="0" w:right="0" w:hanging="0"/>
              <w:jc w:val="center"/>
              <w:rPr/>
            </w:pPr>
            <w:hyperlink w:anchor="cashflow">
              <w:r>
                <w:rPr>
                  <w:rStyle w:val="InternetLink"/>
                  <w:rFonts w:ascii="Times New Roman" w:hAnsi="Times New Roman"/>
                  <w:sz w:val="20"/>
                </w:rPr>
                <w:t>5</w:t>
              </w:r>
            </w:hyperlink>
          </w:p>
        </w:tc>
      </w:tr>
      <w:tr>
        <w:trPr/>
        <w:tc>
          <w:tcPr>
            <w:tcW w:w="750" w:type="dxa"/>
            <w:tcBorders/>
            <w:vAlign w:val="center"/>
          </w:tcPr>
          <w:p>
            <w:pPr>
              <w:pStyle w:val="TableContents"/>
              <w:bidi w:val="0"/>
              <w:spacing w:before="0" w:after="0"/>
              <w:ind w:left="0" w:right="0" w:hanging="0"/>
              <w:jc w:val="left"/>
              <w:rPr/>
            </w:pPr>
            <w:r>
              <w:rPr/>
              <w:t> </w:t>
            </w:r>
          </w:p>
        </w:tc>
        <w:tc>
          <w:tcPr>
            <w:tcW w:w="8939" w:type="dxa"/>
            <w:tcBorders/>
            <w:vAlign w:val="center"/>
          </w:tcPr>
          <w:p>
            <w:pPr>
              <w:pStyle w:val="TableContents"/>
              <w:bidi w:val="0"/>
              <w:spacing w:before="0" w:after="0"/>
              <w:ind w:left="0" w:right="0" w:hanging="0"/>
              <w:jc w:val="left"/>
              <w:rPr/>
            </w:pPr>
            <w:hyperlink w:anchor="notes">
              <w:r>
                <w:rPr>
                  <w:rStyle w:val="InternetLink"/>
                  <w:rFonts w:ascii="Times New Roman" w:hAnsi="Times New Roman"/>
                  <w:sz w:val="20"/>
                </w:rPr>
                <w:t>Notes to Consolidated Financial Statements</w:t>
              </w:r>
            </w:hyperlink>
          </w:p>
        </w:tc>
        <w:tc>
          <w:tcPr>
            <w:tcW w:w="516" w:type="dxa"/>
            <w:tcBorders/>
            <w:vAlign w:val="center"/>
          </w:tcPr>
          <w:p>
            <w:pPr>
              <w:pStyle w:val="TableContents"/>
              <w:bidi w:val="0"/>
              <w:spacing w:before="0" w:after="0"/>
              <w:ind w:left="0" w:right="0" w:hanging="0"/>
              <w:jc w:val="center"/>
              <w:rPr/>
            </w:pPr>
            <w:hyperlink w:anchor="notes">
              <w:r>
                <w:rPr>
                  <w:rStyle w:val="InternetLink"/>
                  <w:rFonts w:ascii="Times New Roman" w:hAnsi="Times New Roman"/>
                  <w:sz w:val="20"/>
                </w:rPr>
                <w:t>6</w:t>
              </w:r>
            </w:hyperlink>
          </w:p>
        </w:tc>
      </w:tr>
      <w:tr>
        <w:trPr/>
        <w:tc>
          <w:tcPr>
            <w:tcW w:w="7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2.</w:t>
            </w:r>
          </w:p>
        </w:tc>
        <w:tc>
          <w:tcPr>
            <w:tcW w:w="8939" w:type="dxa"/>
            <w:tcBorders/>
            <w:vAlign w:val="center"/>
          </w:tcPr>
          <w:p>
            <w:pPr>
              <w:pStyle w:val="TableContents"/>
              <w:bidi w:val="0"/>
              <w:spacing w:before="0" w:after="0"/>
              <w:ind w:left="0" w:right="0" w:hanging="0"/>
              <w:jc w:val="left"/>
              <w:rPr/>
            </w:pPr>
            <w:hyperlink w:anchor="item2">
              <w:r>
                <w:rPr>
                  <w:rStyle w:val="InternetLink"/>
                  <w:rFonts w:ascii="Times New Roman" w:hAnsi="Times New Roman"/>
                  <w:sz w:val="20"/>
                </w:rPr>
                <w:t>Management's Discussion and Analysis of Financial Condition and Results of Operations</w:t>
              </w:r>
            </w:hyperlink>
          </w:p>
        </w:tc>
        <w:tc>
          <w:tcPr>
            <w:tcW w:w="516" w:type="dxa"/>
            <w:tcBorders/>
            <w:vAlign w:val="center"/>
          </w:tcPr>
          <w:p>
            <w:pPr>
              <w:pStyle w:val="TableContents"/>
              <w:bidi w:val="0"/>
              <w:spacing w:before="0" w:after="0"/>
              <w:ind w:left="0" w:right="0" w:hanging="0"/>
              <w:jc w:val="center"/>
              <w:rPr/>
            </w:pPr>
            <w:hyperlink w:anchor="item2">
              <w:r>
                <w:rPr>
                  <w:rStyle w:val="InternetLink"/>
                  <w:rFonts w:ascii="Times New Roman" w:hAnsi="Times New Roman"/>
                  <w:sz w:val="20"/>
                </w:rPr>
                <w:t>34</w:t>
              </w:r>
            </w:hyperlink>
          </w:p>
        </w:tc>
      </w:tr>
      <w:tr>
        <w:trPr/>
        <w:tc>
          <w:tcPr>
            <w:tcW w:w="7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3.</w:t>
            </w:r>
          </w:p>
        </w:tc>
        <w:tc>
          <w:tcPr>
            <w:tcW w:w="8939" w:type="dxa"/>
            <w:tcBorders/>
            <w:vAlign w:val="center"/>
          </w:tcPr>
          <w:p>
            <w:pPr>
              <w:pStyle w:val="TableContents"/>
              <w:bidi w:val="0"/>
              <w:spacing w:before="0" w:after="0"/>
              <w:ind w:left="0" w:right="0" w:hanging="0"/>
              <w:jc w:val="left"/>
              <w:rPr/>
            </w:pPr>
            <w:hyperlink w:anchor="item3">
              <w:r>
                <w:rPr>
                  <w:rStyle w:val="InternetLink"/>
                  <w:rFonts w:ascii="Times New Roman" w:hAnsi="Times New Roman"/>
                  <w:sz w:val="20"/>
                </w:rPr>
                <w:t>Quantitative and Qualitative Disclosures About Market Risk</w:t>
              </w:r>
            </w:hyperlink>
          </w:p>
        </w:tc>
        <w:tc>
          <w:tcPr>
            <w:tcW w:w="516" w:type="dxa"/>
            <w:tcBorders/>
            <w:vAlign w:val="center"/>
          </w:tcPr>
          <w:p>
            <w:pPr>
              <w:pStyle w:val="TableContents"/>
              <w:bidi w:val="0"/>
              <w:spacing w:before="0" w:after="0"/>
              <w:ind w:left="0" w:right="0" w:hanging="0"/>
              <w:jc w:val="center"/>
              <w:rPr/>
            </w:pPr>
            <w:hyperlink w:anchor="item3">
              <w:r>
                <w:rPr>
                  <w:rStyle w:val="InternetLink"/>
                  <w:rFonts w:ascii="Times New Roman" w:hAnsi="Times New Roman"/>
                  <w:sz w:val="20"/>
                </w:rPr>
                <w:t>50</w:t>
              </w:r>
            </w:hyperlink>
          </w:p>
        </w:tc>
      </w:tr>
      <w:tr>
        <w:trPr/>
        <w:tc>
          <w:tcPr>
            <w:tcW w:w="7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4.</w:t>
            </w:r>
          </w:p>
        </w:tc>
        <w:tc>
          <w:tcPr>
            <w:tcW w:w="8939" w:type="dxa"/>
            <w:tcBorders/>
            <w:vAlign w:val="center"/>
          </w:tcPr>
          <w:p>
            <w:pPr>
              <w:pStyle w:val="TableContents"/>
              <w:bidi w:val="0"/>
              <w:spacing w:before="0" w:after="0"/>
              <w:ind w:left="0" w:right="0" w:hanging="0"/>
              <w:jc w:val="left"/>
              <w:rPr/>
            </w:pPr>
            <w:hyperlink w:anchor="item4">
              <w:r>
                <w:rPr>
                  <w:rStyle w:val="InternetLink"/>
                  <w:rFonts w:ascii="Times New Roman" w:hAnsi="Times New Roman"/>
                  <w:sz w:val="20"/>
                </w:rPr>
                <w:t>Controls and Procedures</w:t>
              </w:r>
            </w:hyperlink>
          </w:p>
        </w:tc>
        <w:tc>
          <w:tcPr>
            <w:tcW w:w="516" w:type="dxa"/>
            <w:tcBorders/>
            <w:vAlign w:val="center"/>
          </w:tcPr>
          <w:p>
            <w:pPr>
              <w:pStyle w:val="TableContents"/>
              <w:bidi w:val="0"/>
              <w:spacing w:before="0" w:after="0"/>
              <w:ind w:left="0" w:right="0" w:hanging="0"/>
              <w:jc w:val="center"/>
              <w:rPr/>
            </w:pPr>
            <w:hyperlink w:anchor="item4">
              <w:r>
                <w:rPr>
                  <w:rStyle w:val="InternetLink"/>
                  <w:rFonts w:ascii="Times New Roman" w:hAnsi="Times New Roman"/>
                  <w:sz w:val="20"/>
                </w:rPr>
                <w:t>50</w:t>
              </w:r>
            </w:hyperlink>
          </w:p>
        </w:tc>
      </w:tr>
      <w:tr>
        <w:trPr/>
        <w:tc>
          <w:tcPr>
            <w:tcW w:w="750" w:type="dxa"/>
            <w:tcBorders/>
            <w:vAlign w:val="center"/>
          </w:tcPr>
          <w:p>
            <w:pPr>
              <w:pStyle w:val="TableContents"/>
              <w:bidi w:val="0"/>
              <w:spacing w:before="0" w:after="0"/>
              <w:ind w:left="0" w:right="0" w:hanging="0"/>
              <w:jc w:val="left"/>
              <w:rPr/>
            </w:pPr>
            <w:r>
              <w:rPr/>
              <w:t> </w:t>
            </w:r>
          </w:p>
        </w:tc>
        <w:tc>
          <w:tcPr>
            <w:tcW w:w="8939"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r>
      <w:tr>
        <w:trPr/>
        <w:tc>
          <w:tcPr>
            <w:tcW w:w="9689" w:type="dxa"/>
            <w:gridSpan w:val="2"/>
            <w:tcBorders/>
            <w:vAlign w:val="center"/>
          </w:tcPr>
          <w:p>
            <w:pPr>
              <w:pStyle w:val="TableContents"/>
              <w:bidi w:val="0"/>
              <w:spacing w:before="0" w:after="0"/>
              <w:ind w:left="0" w:right="0" w:hanging="0"/>
              <w:jc w:val="left"/>
              <w:rPr/>
            </w:pPr>
            <w:hyperlink w:anchor="part2">
              <w:r>
                <w:rPr>
                  <w:rStyle w:val="InternetLink"/>
                  <w:rFonts w:ascii="Times New Roman" w:hAnsi="Times New Roman"/>
                  <w:sz w:val="20"/>
                </w:rPr>
                <w:t>PART II - OTHER INFORMATION</w:t>
              </w:r>
            </w:hyperlink>
          </w:p>
        </w:tc>
        <w:tc>
          <w:tcPr>
            <w:tcW w:w="516" w:type="dxa"/>
            <w:tcBorders/>
            <w:vAlign w:val="center"/>
          </w:tcPr>
          <w:p>
            <w:pPr>
              <w:pStyle w:val="TableContents"/>
              <w:bidi w:val="0"/>
              <w:spacing w:before="0" w:after="0"/>
              <w:ind w:left="0" w:right="0" w:hanging="0"/>
              <w:jc w:val="left"/>
              <w:rPr/>
            </w:pPr>
            <w:r>
              <w:rPr/>
              <w:t> </w:t>
            </w:r>
          </w:p>
        </w:tc>
      </w:tr>
      <w:tr>
        <w:trPr/>
        <w:tc>
          <w:tcPr>
            <w:tcW w:w="750" w:type="dxa"/>
            <w:tcBorders/>
            <w:vAlign w:val="center"/>
          </w:tcPr>
          <w:p>
            <w:pPr>
              <w:pStyle w:val="TableContents"/>
              <w:bidi w:val="0"/>
              <w:spacing w:before="0" w:after="0"/>
              <w:ind w:left="0" w:right="0" w:hanging="0"/>
              <w:jc w:val="left"/>
              <w:rPr/>
            </w:pPr>
            <w:r>
              <w:rPr/>
              <w:t> </w:t>
            </w:r>
          </w:p>
        </w:tc>
        <w:tc>
          <w:tcPr>
            <w:tcW w:w="8939" w:type="dxa"/>
            <w:tcBorders/>
            <w:vAlign w:val="center"/>
          </w:tcPr>
          <w:p>
            <w:pPr>
              <w:pStyle w:val="TableContents"/>
              <w:bidi w:val="0"/>
              <w:spacing w:before="0" w:after="0"/>
              <w:ind w:left="0" w:right="0" w:hanging="0"/>
              <w:jc w:val="left"/>
              <w:rPr/>
            </w:pPr>
            <w:r>
              <w:rPr/>
              <w:t> </w:t>
            </w:r>
          </w:p>
        </w:tc>
        <w:tc>
          <w:tcPr>
            <w:tcW w:w="516" w:type="dxa"/>
            <w:tcBorders/>
            <w:vAlign w:val="center"/>
          </w:tcPr>
          <w:p>
            <w:pPr>
              <w:pStyle w:val="TableContents"/>
              <w:bidi w:val="0"/>
              <w:spacing w:before="0" w:after="0"/>
              <w:ind w:left="0" w:right="0" w:hanging="0"/>
              <w:jc w:val="left"/>
              <w:rPr/>
            </w:pPr>
            <w:r>
              <w:rPr/>
              <w:t> </w:t>
            </w:r>
          </w:p>
        </w:tc>
      </w:tr>
      <w:tr>
        <w:trPr/>
        <w:tc>
          <w:tcPr>
            <w:tcW w:w="7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1.</w:t>
            </w:r>
          </w:p>
        </w:tc>
        <w:tc>
          <w:tcPr>
            <w:tcW w:w="8939" w:type="dxa"/>
            <w:tcBorders/>
            <w:vAlign w:val="center"/>
          </w:tcPr>
          <w:p>
            <w:pPr>
              <w:pStyle w:val="TableContents"/>
              <w:bidi w:val="0"/>
              <w:spacing w:before="0" w:after="0"/>
              <w:ind w:left="0" w:right="0" w:hanging="0"/>
              <w:jc w:val="left"/>
              <w:rPr/>
            </w:pPr>
            <w:hyperlink w:anchor="anchor-2item1">
              <w:r>
                <w:rPr>
                  <w:rStyle w:val="InternetLink"/>
                  <w:rFonts w:ascii="Times New Roman" w:hAnsi="Times New Roman"/>
                  <w:sz w:val="20"/>
                </w:rPr>
                <w:t>Legal Proceedings</w:t>
              </w:r>
            </w:hyperlink>
          </w:p>
        </w:tc>
        <w:tc>
          <w:tcPr>
            <w:tcW w:w="516" w:type="dxa"/>
            <w:tcBorders/>
            <w:vAlign w:val="center"/>
          </w:tcPr>
          <w:p>
            <w:pPr>
              <w:pStyle w:val="TableContents"/>
              <w:bidi w:val="0"/>
              <w:spacing w:before="0" w:after="0"/>
              <w:ind w:left="0" w:right="0" w:hanging="0"/>
              <w:jc w:val="center"/>
              <w:rPr/>
            </w:pPr>
            <w:hyperlink w:anchor="anchor-2item1">
              <w:r>
                <w:rPr>
                  <w:rStyle w:val="InternetLink"/>
                  <w:rFonts w:ascii="Times New Roman" w:hAnsi="Times New Roman"/>
                  <w:sz w:val="20"/>
                </w:rPr>
                <w:t>51</w:t>
              </w:r>
            </w:hyperlink>
          </w:p>
        </w:tc>
      </w:tr>
      <w:tr>
        <w:trPr/>
        <w:tc>
          <w:tcPr>
            <w:tcW w:w="7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1A.</w:t>
            </w:r>
          </w:p>
        </w:tc>
        <w:tc>
          <w:tcPr>
            <w:tcW w:w="8939" w:type="dxa"/>
            <w:tcBorders/>
            <w:vAlign w:val="center"/>
          </w:tcPr>
          <w:p>
            <w:pPr>
              <w:pStyle w:val="TableContents"/>
              <w:bidi w:val="0"/>
              <w:spacing w:before="0" w:after="0"/>
              <w:ind w:left="0" w:right="0" w:hanging="0"/>
              <w:jc w:val="left"/>
              <w:rPr/>
            </w:pPr>
            <w:hyperlink w:anchor="anchor-2item1a">
              <w:r>
                <w:rPr>
                  <w:rStyle w:val="InternetLink"/>
                  <w:rFonts w:ascii="Times New Roman" w:hAnsi="Times New Roman"/>
                  <w:sz w:val="20"/>
                </w:rPr>
                <w:t>Risk Factors</w:t>
              </w:r>
            </w:hyperlink>
          </w:p>
        </w:tc>
        <w:tc>
          <w:tcPr>
            <w:tcW w:w="516" w:type="dxa"/>
            <w:tcBorders/>
            <w:vAlign w:val="center"/>
          </w:tcPr>
          <w:p>
            <w:pPr>
              <w:pStyle w:val="TableContents"/>
              <w:bidi w:val="0"/>
              <w:spacing w:before="0" w:after="0"/>
              <w:ind w:left="0" w:right="0" w:hanging="0"/>
              <w:jc w:val="center"/>
              <w:rPr/>
            </w:pPr>
            <w:hyperlink w:anchor="anchor-2item1a">
              <w:r>
                <w:rPr>
                  <w:rStyle w:val="InternetLink"/>
                  <w:rFonts w:ascii="Times New Roman" w:hAnsi="Times New Roman"/>
                  <w:sz w:val="20"/>
                </w:rPr>
                <w:t>51</w:t>
              </w:r>
            </w:hyperlink>
          </w:p>
        </w:tc>
      </w:tr>
      <w:tr>
        <w:trPr/>
        <w:tc>
          <w:tcPr>
            <w:tcW w:w="7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2.</w:t>
            </w:r>
          </w:p>
        </w:tc>
        <w:tc>
          <w:tcPr>
            <w:tcW w:w="8939" w:type="dxa"/>
            <w:tcBorders/>
            <w:vAlign w:val="center"/>
          </w:tcPr>
          <w:p>
            <w:pPr>
              <w:pStyle w:val="TableContents"/>
              <w:bidi w:val="0"/>
              <w:spacing w:before="0" w:after="0"/>
              <w:ind w:left="0" w:right="0" w:hanging="0"/>
              <w:jc w:val="left"/>
              <w:rPr/>
            </w:pPr>
            <w:hyperlink w:anchor="anchor-2item2">
              <w:r>
                <w:rPr>
                  <w:rStyle w:val="InternetLink"/>
                  <w:rFonts w:ascii="Times New Roman" w:hAnsi="Times New Roman"/>
                  <w:sz w:val="20"/>
                </w:rPr>
                <w:t>Unregistered Sales of Equity Securities and Use of Proceeds</w:t>
              </w:r>
            </w:hyperlink>
          </w:p>
        </w:tc>
        <w:tc>
          <w:tcPr>
            <w:tcW w:w="516" w:type="dxa"/>
            <w:tcBorders/>
            <w:vAlign w:val="center"/>
          </w:tcPr>
          <w:p>
            <w:pPr>
              <w:pStyle w:val="TableContents"/>
              <w:bidi w:val="0"/>
              <w:spacing w:before="0" w:after="0"/>
              <w:ind w:left="0" w:right="0" w:hanging="0"/>
              <w:jc w:val="center"/>
              <w:rPr/>
            </w:pPr>
            <w:hyperlink w:anchor="anchor-2item2">
              <w:r>
                <w:rPr>
                  <w:rStyle w:val="InternetLink"/>
                  <w:rFonts w:ascii="Times New Roman" w:hAnsi="Times New Roman"/>
                  <w:sz w:val="20"/>
                </w:rPr>
                <w:t>52</w:t>
              </w:r>
            </w:hyperlink>
          </w:p>
        </w:tc>
      </w:tr>
      <w:tr>
        <w:trPr/>
        <w:tc>
          <w:tcPr>
            <w:tcW w:w="7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3.</w:t>
            </w:r>
          </w:p>
        </w:tc>
        <w:tc>
          <w:tcPr>
            <w:tcW w:w="8939" w:type="dxa"/>
            <w:tcBorders/>
            <w:vAlign w:val="center"/>
          </w:tcPr>
          <w:p>
            <w:pPr>
              <w:pStyle w:val="TableContents"/>
              <w:bidi w:val="0"/>
              <w:spacing w:before="0" w:after="0"/>
              <w:ind w:left="0" w:right="0" w:hanging="0"/>
              <w:jc w:val="left"/>
              <w:rPr/>
            </w:pPr>
            <w:hyperlink w:anchor="anchor-2item3">
              <w:r>
                <w:rPr>
                  <w:rStyle w:val="InternetLink"/>
                  <w:rFonts w:ascii="Times New Roman" w:hAnsi="Times New Roman"/>
                  <w:sz w:val="20"/>
                </w:rPr>
                <w:t>Defaults Upon Senior Securities</w:t>
              </w:r>
            </w:hyperlink>
          </w:p>
        </w:tc>
        <w:tc>
          <w:tcPr>
            <w:tcW w:w="516" w:type="dxa"/>
            <w:tcBorders/>
            <w:vAlign w:val="center"/>
          </w:tcPr>
          <w:p>
            <w:pPr>
              <w:pStyle w:val="TableContents"/>
              <w:bidi w:val="0"/>
              <w:spacing w:before="0" w:after="0"/>
              <w:ind w:left="0" w:right="0" w:hanging="0"/>
              <w:jc w:val="center"/>
              <w:rPr/>
            </w:pPr>
            <w:hyperlink w:anchor="anchor-2item3">
              <w:r>
                <w:rPr>
                  <w:rStyle w:val="InternetLink"/>
                  <w:rFonts w:ascii="Times New Roman" w:hAnsi="Times New Roman"/>
                  <w:sz w:val="20"/>
                </w:rPr>
                <w:t>52</w:t>
              </w:r>
            </w:hyperlink>
          </w:p>
        </w:tc>
      </w:tr>
      <w:tr>
        <w:trPr/>
        <w:tc>
          <w:tcPr>
            <w:tcW w:w="7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5.</w:t>
            </w:r>
          </w:p>
        </w:tc>
        <w:tc>
          <w:tcPr>
            <w:tcW w:w="8939" w:type="dxa"/>
            <w:tcBorders/>
            <w:vAlign w:val="center"/>
          </w:tcPr>
          <w:p>
            <w:pPr>
              <w:pStyle w:val="TableContents"/>
              <w:bidi w:val="0"/>
              <w:spacing w:before="0" w:after="0"/>
              <w:ind w:left="0" w:right="0" w:hanging="0"/>
              <w:jc w:val="left"/>
              <w:rPr/>
            </w:pPr>
            <w:hyperlink w:anchor="anchor-2item5">
              <w:r>
                <w:rPr>
                  <w:rStyle w:val="InternetLink"/>
                  <w:rFonts w:ascii="Times New Roman" w:hAnsi="Times New Roman"/>
                  <w:sz w:val="20"/>
                </w:rPr>
                <w:t>Other Information</w:t>
              </w:r>
            </w:hyperlink>
          </w:p>
        </w:tc>
        <w:tc>
          <w:tcPr>
            <w:tcW w:w="516" w:type="dxa"/>
            <w:tcBorders/>
            <w:vAlign w:val="center"/>
          </w:tcPr>
          <w:p>
            <w:pPr>
              <w:pStyle w:val="TableContents"/>
              <w:bidi w:val="0"/>
              <w:spacing w:before="0" w:after="0"/>
              <w:ind w:left="0" w:right="0" w:hanging="0"/>
              <w:jc w:val="center"/>
              <w:rPr/>
            </w:pPr>
            <w:hyperlink w:anchor="anchor-2item5">
              <w:r>
                <w:rPr>
                  <w:rStyle w:val="InternetLink"/>
                  <w:rFonts w:ascii="Times New Roman" w:hAnsi="Times New Roman"/>
                  <w:sz w:val="20"/>
                </w:rPr>
                <w:t>52</w:t>
              </w:r>
            </w:hyperlink>
          </w:p>
        </w:tc>
      </w:tr>
      <w:tr>
        <w:trPr/>
        <w:tc>
          <w:tcPr>
            <w:tcW w:w="75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Item 6.</w:t>
            </w:r>
          </w:p>
        </w:tc>
        <w:tc>
          <w:tcPr>
            <w:tcW w:w="8939" w:type="dxa"/>
            <w:tcBorders/>
            <w:vAlign w:val="center"/>
          </w:tcPr>
          <w:p>
            <w:pPr>
              <w:pStyle w:val="TableContents"/>
              <w:bidi w:val="0"/>
              <w:spacing w:before="0" w:after="0"/>
              <w:ind w:left="0" w:right="0" w:hanging="0"/>
              <w:jc w:val="left"/>
              <w:rPr/>
            </w:pPr>
            <w:hyperlink w:anchor="anchor-2item6">
              <w:r>
                <w:rPr>
                  <w:rStyle w:val="InternetLink"/>
                  <w:rFonts w:ascii="Times New Roman" w:hAnsi="Times New Roman"/>
                  <w:sz w:val="20"/>
                </w:rPr>
                <w:t>Exhibits</w:t>
              </w:r>
            </w:hyperlink>
          </w:p>
        </w:tc>
        <w:tc>
          <w:tcPr>
            <w:tcW w:w="516" w:type="dxa"/>
            <w:tcBorders/>
            <w:vAlign w:val="center"/>
          </w:tcPr>
          <w:p>
            <w:pPr>
              <w:pStyle w:val="TableContents"/>
              <w:bidi w:val="0"/>
              <w:spacing w:before="0" w:after="0"/>
              <w:ind w:left="0" w:right="0" w:hanging="0"/>
              <w:jc w:val="center"/>
              <w:rPr/>
            </w:pPr>
            <w:hyperlink w:anchor="anchor-2item6">
              <w:r>
                <w:rPr>
                  <w:rStyle w:val="InternetLink"/>
                  <w:rFonts w:ascii="Times New Roman" w:hAnsi="Times New Roman"/>
                  <w:sz w:val="20"/>
                </w:rPr>
                <w:t>53</w:t>
              </w:r>
            </w:hyperlink>
          </w:p>
        </w:tc>
      </w:tr>
      <w:tr>
        <w:trPr/>
        <w:tc>
          <w:tcPr>
            <w:tcW w:w="9689" w:type="dxa"/>
            <w:gridSpan w:val="2"/>
            <w:tcBorders/>
            <w:vAlign w:val="center"/>
          </w:tcPr>
          <w:p>
            <w:pPr>
              <w:pStyle w:val="TableContents"/>
              <w:bidi w:val="0"/>
              <w:spacing w:before="0" w:after="0"/>
              <w:ind w:left="0" w:right="0" w:hanging="0"/>
              <w:jc w:val="left"/>
              <w:rPr/>
            </w:pPr>
            <w:hyperlink w:anchor="sigs">
              <w:r>
                <w:rPr>
                  <w:rStyle w:val="InternetLink"/>
                  <w:rFonts w:ascii="Times New Roman" w:hAnsi="Times New Roman"/>
                  <w:sz w:val="20"/>
                </w:rPr>
                <w:t>Signatures</w:t>
              </w:r>
            </w:hyperlink>
          </w:p>
        </w:tc>
        <w:tc>
          <w:tcPr>
            <w:tcW w:w="516" w:type="dxa"/>
            <w:tcBorders/>
            <w:vAlign w:val="center"/>
          </w:tcPr>
          <w:p>
            <w:pPr>
              <w:pStyle w:val="TableContents"/>
              <w:bidi w:val="0"/>
              <w:spacing w:before="0" w:after="0"/>
              <w:ind w:left="0" w:right="0" w:hanging="0"/>
              <w:jc w:val="center"/>
              <w:rPr/>
            </w:pPr>
            <w:hyperlink w:anchor="sigs">
              <w:r>
                <w:rPr>
                  <w:rStyle w:val="InternetLink"/>
                  <w:rFonts w:ascii="Times New Roman" w:hAnsi="Times New Roman"/>
                  <w:sz w:val="20"/>
                </w:rPr>
                <w:t>55</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3" w:name="part1"/>
      <w:bookmarkEnd w:id="3"/>
      <w:r>
        <w:rPr>
          <w:rFonts w:ascii="Times New Roman;Times;serif" w:hAnsi="Times New Roman;Times;serif"/>
          <w:b/>
          <w:sz w:val="20"/>
        </w:rPr>
        <w:t>PART I - FINANCIAL INFORMATION</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Unless otherwise indicated or required by the context, all references in this Quarterly Report on Form 10-Q to "we," "us," "our," "Fluent," or the "Company," refer to Fluent, Inc. and its consolidated subsidiaries.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4" w:name="item1"/>
      <w:bookmarkEnd w:id="4"/>
      <w:r>
        <w:rPr>
          <w:rFonts w:ascii="Times New Roman;Times;serif" w:hAnsi="Times New Roman;Times;serif"/>
          <w:b/>
          <w:sz w:val="20"/>
        </w:rPr>
        <w:t>ITEM 1. FINANCIAL STATEMENTS.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5" w:name="balsheet"/>
      <w:bookmarkEnd w:id="5"/>
      <w:r>
        <w:rPr>
          <w:rFonts w:ascii="Times New Roman;Times;serif" w:hAnsi="Times New Roman;Times;serif"/>
          <w:b/>
          <w:sz w:val="20"/>
        </w:rPr>
        <w:t>FLUENT,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CONSOLIDATED BALANCE SHEETS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(Amounts in thousands, except share and per share data)</w:t>
      </w:r>
      <w:r>
        <w:rPr>
          <w:rFonts w:ascii="Times New Roman;Times;serif" w:hAnsi="Times New Roman;Times;serif"/>
          <w:sz w:val="20"/>
        </w:rPr>
        <w:t xml:space="preserve">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335"/>
        <w:gridCol w:w="60"/>
        <w:gridCol w:w="200"/>
        <w:gridCol w:w="1221"/>
        <w:gridCol w:w="80"/>
        <w:gridCol w:w="60"/>
        <w:gridCol w:w="165"/>
        <w:gridCol w:w="1001"/>
        <w:gridCol w:w="83"/>
      </w:tblGrid>
      <w:tr>
        <w:trPr/>
        <w:tc>
          <w:tcPr>
            <w:tcW w:w="733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2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2026 (unaudited)</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6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ASSETS:</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Cash and cash equivalents</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6,877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12,935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receivable, net of allowance for credit losses of $146 and $163, respectively</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39,399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46,735</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Prepaid expenses and other 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6,350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7,799</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current assets</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52,626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67,469</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Non-current restricted cash</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1221"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1001"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710</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Property and equipment, net</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104</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right-of-use assets</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2,487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2,859</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Intangible assets, net</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17,276</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assets</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715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assets</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75,133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89,133</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LIABILITIES AND SHAREHOLDERS'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122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1001"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Accounts payable</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8,229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7,200</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Accrued expenses and other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23,471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25,163</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Deferred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Short-term debt, net</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26,759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30,846</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Current portion of operating lease liability</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1,104</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Total current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59,683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65,034</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at fair value with related parties</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5,155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3,734</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Operating lease liability, net</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1,578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1,985</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Other non-current liabilities</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liabilities</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67,029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70,921</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Contingencies (Note 10)</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0"/>
              <w:ind w:left="0" w:right="0" w:hanging="0"/>
              <w:jc w:val="left"/>
              <w:rPr/>
            </w:pPr>
            <w:r>
              <w:rPr/>
              <w:t> </w:t>
            </w:r>
          </w:p>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0"/>
              <w:ind w:left="0" w:right="0" w:hanging="0"/>
              <w:jc w:val="left"/>
              <w:rPr/>
            </w:pPr>
            <w:r>
              <w:rPr/>
              <w:t> </w:t>
            </w:r>
          </w:p>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Shareholders'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122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1001" w:type="dxa"/>
            <w:tcBorders/>
            <w:shd w:fill="FFFFFF" w:val="clear"/>
            <w:vAlign w:val="center"/>
          </w:tcPr>
          <w:p>
            <w:pPr>
              <w:pStyle w:val="TableContents"/>
              <w:bidi w:val="0"/>
              <w:spacing w:before="0" w:after="0"/>
              <w:ind w:left="0" w:right="0" w:hanging="0"/>
              <w:jc w:val="left"/>
              <w:rPr/>
            </w:pPr>
            <w:r>
              <w:rPr/>
              <w:t> </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Preferred stock — $0.0001 par value, 10,000,000 Shares authorized; Shares outstanding — 0 shares for both periods</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0"/>
              <w:ind w:left="0" w:right="0" w:hanging="0"/>
              <w:jc w:val="left"/>
              <w:rPr/>
            </w:pPr>
            <w:r>
              <w:rPr/>
              <w:t> </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Common stock — $0.0005 par value, 200,000,000 Shares authorized; Shares issued — 32,362,277 and 30,404,779, respectively; and Shares outstanding — 31,593,682 and 29,636,184, respectively</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Treasury stock, at cost — 768,595 and 768,595 Shares, respectively</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shd w:fill="CCEEFF" w:val="clear"/>
            <w:vAlign w:val="center"/>
          </w:tcPr>
          <w:p>
            <w:pPr>
              <w:pStyle w:val="TableContents"/>
              <w:bidi w:val="0"/>
              <w:spacing w:before="0" w:after="0"/>
              <w:ind w:left="0" w:right="0" w:hanging="0"/>
              <w:jc w:val="left"/>
              <w:rPr/>
            </w:pPr>
            <w:r>
              <w:rPr/>
              <w:t> </w:t>
            </w:r>
          </w:p>
        </w:tc>
        <w:tc>
          <w:tcPr>
            <w:tcW w:w="122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shd w:fill="CCEEFF" w:val="clear"/>
            <w:vAlign w:val="center"/>
          </w:tcPr>
          <w:p>
            <w:pPr>
              <w:pStyle w:val="TableContents"/>
              <w:bidi w:val="0"/>
              <w:spacing w:before="0" w:after="0"/>
              <w:ind w:left="0" w:right="0" w:hanging="0"/>
              <w:jc w:val="left"/>
              <w:rPr/>
            </w:pPr>
            <w:r>
              <w:rPr/>
              <w:t> </w:t>
            </w:r>
          </w:p>
        </w:tc>
        <w:tc>
          <w:tcPr>
            <w:tcW w:w="100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(11,407</w:t>
            </w:r>
          </w:p>
        </w:tc>
        <w:tc>
          <w:tcPr>
            <w:tcW w:w="8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Additional paid-in capital</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shd w:fill="FFFFFF" w:val="clear"/>
            <w:vAlign w:val="center"/>
          </w:tcPr>
          <w:p>
            <w:pPr>
              <w:pStyle w:val="TableContents"/>
              <w:bidi w:val="0"/>
              <w:spacing w:before="0" w:after="0"/>
              <w:ind w:left="0" w:right="0" w:hanging="0"/>
              <w:jc w:val="left"/>
              <w:rPr/>
            </w:pPr>
            <w:r>
              <w:rPr/>
              <w:t> </w:t>
            </w:r>
          </w:p>
        </w:tc>
        <w:tc>
          <w:tcPr>
            <w:tcW w:w="122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468,949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shd w:fill="FFFFFF" w:val="clear"/>
            <w:vAlign w:val="center"/>
          </w:tcPr>
          <w:p>
            <w:pPr>
              <w:pStyle w:val="TableContents"/>
              <w:bidi w:val="0"/>
              <w:spacing w:before="0" w:after="0"/>
              <w:ind w:left="0" w:right="0" w:hanging="0"/>
              <w:jc w:val="left"/>
              <w:rPr/>
            </w:pPr>
            <w:r>
              <w:rPr/>
              <w:t> </w:t>
            </w:r>
          </w:p>
        </w:tc>
        <w:tc>
          <w:tcPr>
            <w:tcW w:w="10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467,528</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Accumulated deficit</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(449,493</w:t>
            </w:r>
          </w:p>
        </w:tc>
        <w:tc>
          <w:tcPr>
            <w:tcW w:w="80"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(437,962</w:t>
            </w:r>
          </w:p>
        </w:tc>
        <w:tc>
          <w:tcPr>
            <w:tcW w:w="8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33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shareholders' equity</w:t>
            </w:r>
          </w:p>
        </w:tc>
        <w:tc>
          <w:tcPr>
            <w:tcW w:w="60" w:type="dxa"/>
            <w:tcBorders/>
            <w:shd w:fill="FFFFFF" w:val="clear"/>
            <w:vAlign w:val="center"/>
          </w:tcPr>
          <w:p>
            <w:pPr>
              <w:pStyle w:val="TableContents"/>
              <w:bidi w:val="0"/>
              <w:spacing w:before="0" w:after="0"/>
              <w:ind w:left="0" w:right="0" w:hanging="0"/>
              <w:jc w:val="left"/>
              <w:rPr/>
            </w:pPr>
            <w:r>
              <w:rPr/>
              <w:t> </w:t>
            </w:r>
          </w:p>
        </w:tc>
        <w:tc>
          <w:tcPr>
            <w:tcW w:w="20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2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8,104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18,212</w:t>
            </w:r>
          </w:p>
        </w:tc>
        <w:tc>
          <w:tcPr>
            <w:tcW w:w="83" w:type="dxa"/>
            <w:tcBorders/>
            <w:shd w:fill="FFFFFF" w:val="clear"/>
            <w:vAlign w:val="center"/>
          </w:tcPr>
          <w:p>
            <w:pPr>
              <w:pStyle w:val="TableContents"/>
              <w:bidi w:val="0"/>
              <w:spacing w:before="0" w:after="0"/>
              <w:ind w:left="0" w:right="0" w:hanging="0"/>
              <w:jc w:val="left"/>
              <w:rPr/>
            </w:pPr>
            <w:r>
              <w:rPr/>
              <w:t> </w:t>
            </w:r>
          </w:p>
        </w:tc>
      </w:tr>
      <w:tr>
        <w:trPr/>
        <w:tc>
          <w:tcPr>
            <w:tcW w:w="733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 liabilities and shareholders' equity</w:t>
            </w:r>
          </w:p>
        </w:tc>
        <w:tc>
          <w:tcPr>
            <w:tcW w:w="60" w:type="dxa"/>
            <w:tcBorders/>
            <w:shd w:fill="CCEEFF" w:val="clear"/>
            <w:vAlign w:val="center"/>
          </w:tcPr>
          <w:p>
            <w:pPr>
              <w:pStyle w:val="TableContents"/>
              <w:bidi w:val="0"/>
              <w:spacing w:before="0" w:after="0"/>
              <w:ind w:left="0" w:right="0" w:hanging="0"/>
              <w:jc w:val="left"/>
              <w:rPr/>
            </w:pPr>
            <w:r>
              <w:rPr/>
              <w:t> </w:t>
            </w:r>
          </w:p>
        </w:tc>
        <w:tc>
          <w:tcPr>
            <w:tcW w:w="20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2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75,133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001"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89,133</w:t>
            </w:r>
          </w:p>
        </w:tc>
        <w:tc>
          <w:tcPr>
            <w:tcW w:w="83"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6" w:name="stateofop"/>
      <w:bookmarkEnd w:id="6"/>
      <w:r>
        <w:rPr>
          <w:rFonts w:ascii="Times New Roman;Times;serif" w:hAnsi="Times New Roman;Times;serif"/>
          <w:b/>
          <w:sz w:val="20"/>
        </w:rPr>
        <w:t>FLUENT,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CONSOLIDATED STATEMENTS OF OPERATIONS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(Amounts in thousands, except share and per share data)</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xml:space="preserve">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5321"/>
        <w:gridCol w:w="23"/>
        <w:gridCol w:w="132"/>
        <w:gridCol w:w="1013"/>
        <w:gridCol w:w="85"/>
        <w:gridCol w:w="24"/>
        <w:gridCol w:w="132"/>
        <w:gridCol w:w="1013"/>
        <w:gridCol w:w="80"/>
        <w:gridCol w:w="23"/>
        <w:gridCol w:w="126"/>
        <w:gridCol w:w="959"/>
        <w:gridCol w:w="80"/>
        <w:gridCol w:w="23"/>
        <w:gridCol w:w="126"/>
        <w:gridCol w:w="959"/>
        <w:gridCol w:w="86"/>
      </w:tblGrid>
      <w:tr>
        <w:trPr/>
        <w:tc>
          <w:tcPr>
            <w:tcW w:w="5321"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9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73"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6" w:type="dxa"/>
            <w:tcBorders/>
            <w:vAlign w:val="center"/>
          </w:tcPr>
          <w:p>
            <w:pPr>
              <w:pStyle w:val="TableContents"/>
              <w:bidi w:val="0"/>
              <w:spacing w:before="0" w:after="0"/>
              <w:ind w:left="0" w:right="0" w:hanging="0"/>
              <w:jc w:val="left"/>
              <w:rPr/>
            </w:pPr>
            <w:r>
              <w:rPr/>
              <w:t>​</w:t>
            </w:r>
          </w:p>
        </w:tc>
      </w:tr>
      <w:tr>
        <w:trPr/>
        <w:tc>
          <w:tcPr>
            <w:tcW w:w="5321"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5"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11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6" w:type="dxa"/>
            <w:tcBorders/>
            <w:vAlign w:val="center"/>
          </w:tcPr>
          <w:p>
            <w:pPr>
              <w:pStyle w:val="TableContents"/>
              <w:bidi w:val="0"/>
              <w:spacing w:before="0" w:after="0"/>
              <w:ind w:left="0" w:right="0" w:hanging="0"/>
              <w:jc w:val="left"/>
              <w:rPr/>
            </w:pPr>
            <w:r>
              <w:rPr/>
              <w:t>​</w:t>
            </w:r>
          </w:p>
        </w:tc>
      </w:tr>
      <w:tr>
        <w:trPr/>
        <w:tc>
          <w:tcPr>
            <w:tcW w:w="532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48,449</w:t>
            </w:r>
          </w:p>
        </w:tc>
        <w:tc>
          <w:tcPr>
            <w:tcW w:w="85"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44,706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93,301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99,916</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32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Costs and expenses:</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left"/>
              <w:rPr/>
            </w:pPr>
            <w:r>
              <w:rPr/>
              <w:t>​</w:t>
            </w:r>
          </w:p>
        </w:tc>
        <w:tc>
          <w:tcPr>
            <w:tcW w:w="85"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left"/>
              <w:rPr/>
            </w:pPr>
            <w:r>
              <w:rPr/>
              <w:t>​</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3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Cost of revenue (exclusive of depreciation and amortization)</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34,440</w:t>
            </w:r>
          </w:p>
        </w:tc>
        <w:tc>
          <w:tcPr>
            <w:tcW w:w="85"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34,426</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69,253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78,201</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3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4,777</w:t>
            </w:r>
          </w:p>
        </w:tc>
        <w:tc>
          <w:tcPr>
            <w:tcW w:w="85"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3,751</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9,198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8,325</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3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Product development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3,046</w:t>
            </w:r>
          </w:p>
        </w:tc>
        <w:tc>
          <w:tcPr>
            <w:tcW w:w="85"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2,283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5,690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4,983</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3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 (including $168 to a related party for the three and six months ended June 30, 2026)</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9,427</w:t>
            </w:r>
          </w:p>
        </w:tc>
        <w:tc>
          <w:tcPr>
            <w:tcW w:w="85"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8,873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14,615</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17,649</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3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1,710</w:t>
            </w:r>
          </w:p>
        </w:tc>
        <w:tc>
          <w:tcPr>
            <w:tcW w:w="85"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4,940</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3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Loss on disposal of assets</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32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costs and expenses</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53,400</w:t>
            </w:r>
          </w:p>
        </w:tc>
        <w:tc>
          <w:tcPr>
            <w:tcW w:w="85"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51,812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102,161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114,098</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32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from operations</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(4,951</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(7,106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(8,860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(14,182</w:t>
            </w:r>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(637</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(1,582</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of Convertible Notes with related parties</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(584</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398</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32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income taxes</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(6,172</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(7,330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(11,523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(15,366</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 benefit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01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(126</w:t>
            </w:r>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2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(6,177</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(7,223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(11,531</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(15,492</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21"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left"/>
              <w:rPr/>
            </w:pPr>
            <w:r>
              <w:rPr/>
              <w:t>​</w:t>
            </w:r>
          </w:p>
        </w:tc>
        <w:tc>
          <w:tcPr>
            <w:tcW w:w="85"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left"/>
              <w:rPr/>
            </w:pPr>
            <w:r>
              <w:rPr/>
              <w:t>​</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32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Basic and diluted loss per share:</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85"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left"/>
              <w:rPr/>
            </w:pPr>
            <w:r>
              <w:rPr/>
              <w:t>​</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3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(0.20</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(0.30</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(0.68</w:t>
            </w:r>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(0.20</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(0.37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(0.68</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321"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left"/>
              <w:rPr/>
            </w:pPr>
            <w:r>
              <w:rPr/>
              <w:t>​</w:t>
            </w:r>
          </w:p>
        </w:tc>
        <w:tc>
          <w:tcPr>
            <w:tcW w:w="85"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left"/>
              <w:rPr/>
            </w:pPr>
            <w:r>
              <w:rPr/>
              <w:t>​</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32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number of shares outstanding:</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85"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left"/>
              <w:rPr/>
            </w:pPr>
            <w:r>
              <w:rPr/>
              <w:t>​</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32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23"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31,544,934</w:t>
            </w:r>
          </w:p>
        </w:tc>
        <w:tc>
          <w:tcPr>
            <w:tcW w:w="85"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32" w:type="dxa"/>
            <w:tcBorders/>
            <w:shd w:fill="FFFFFF" w:val="clear"/>
            <w:vAlign w:val="center"/>
          </w:tcPr>
          <w:p>
            <w:pPr>
              <w:pStyle w:val="TableContents"/>
              <w:bidi w:val="0"/>
              <w:spacing w:before="0" w:after="0"/>
              <w:ind w:left="0" w:right="0" w:hanging="0"/>
              <w:jc w:val="left"/>
              <w:rPr/>
            </w:pPr>
            <w:r>
              <w:rPr/>
              <w:t>​</w:t>
            </w:r>
          </w:p>
        </w:tc>
        <w:tc>
          <w:tcPr>
            <w:tcW w:w="101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24,061,803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31,464,810</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6" w:type="dxa"/>
            <w:tcBorders/>
            <w:shd w:fill="FFFFFF" w:val="clear"/>
            <w:vAlign w:val="center"/>
          </w:tcPr>
          <w:p>
            <w:pPr>
              <w:pStyle w:val="TableContents"/>
              <w:bidi w:val="0"/>
              <w:spacing w:before="0" w:after="0"/>
              <w:ind w:left="0" w:right="0" w:hanging="0"/>
              <w:jc w:val="left"/>
              <w:rPr/>
            </w:pPr>
            <w:r>
              <w:rPr/>
              <w:t>​</w:t>
            </w:r>
          </w:p>
        </w:tc>
        <w:tc>
          <w:tcPr>
            <w:tcW w:w="95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22,661,951</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32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23"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31,544,934</w:t>
            </w:r>
          </w:p>
        </w:tc>
        <w:tc>
          <w:tcPr>
            <w:tcW w:w="85"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32" w:type="dxa"/>
            <w:tcBorders/>
            <w:shd w:fill="CCEEFF" w:val="clear"/>
            <w:vAlign w:val="center"/>
          </w:tcPr>
          <w:p>
            <w:pPr>
              <w:pStyle w:val="TableContents"/>
              <w:bidi w:val="0"/>
              <w:spacing w:before="0" w:after="0"/>
              <w:ind w:left="0" w:right="0" w:hanging="0"/>
              <w:jc w:val="left"/>
              <w:rPr/>
            </w:pPr>
            <w:r>
              <w:rPr/>
              <w:t>​</w:t>
            </w:r>
          </w:p>
        </w:tc>
        <w:tc>
          <w:tcPr>
            <w:tcW w:w="101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24,061,803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31,464,810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6" w:type="dxa"/>
            <w:tcBorders/>
            <w:shd w:fill="CCEEFF" w:val="clear"/>
            <w:vAlign w:val="center"/>
          </w:tcPr>
          <w:p>
            <w:pPr>
              <w:pStyle w:val="TableContents"/>
              <w:bidi w:val="0"/>
              <w:spacing w:before="0" w:after="0"/>
              <w:ind w:left="0" w:right="0" w:hanging="0"/>
              <w:jc w:val="left"/>
              <w:rPr/>
            </w:pPr>
            <w:r>
              <w:rPr/>
              <w:t>​</w:t>
            </w:r>
          </w:p>
        </w:tc>
        <w:tc>
          <w:tcPr>
            <w:tcW w:w="95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22,661,951</w:t>
            </w:r>
          </w:p>
        </w:tc>
        <w:tc>
          <w:tcPr>
            <w:tcW w:w="8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7" w:name="equity"/>
      <w:bookmarkEnd w:id="7"/>
      <w:r>
        <w:rPr>
          <w:rFonts w:ascii="Times New Roman;Times;serif" w:hAnsi="Times New Roman;Times;serif"/>
          <w:b/>
          <w:sz w:val="20"/>
        </w:rPr>
        <w:t>FLUENT,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CONSOLIDATED STATEMENTS OF CHANGES IN SHAREHOLDERS' EQUITY</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(Amounts in thousands, except share and per share data)</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05"/>
        <w:gridCol w:w="23"/>
        <w:gridCol w:w="23"/>
        <w:gridCol w:w="950"/>
        <w:gridCol w:w="23"/>
        <w:gridCol w:w="23"/>
        <w:gridCol w:w="225"/>
        <w:gridCol w:w="470"/>
        <w:gridCol w:w="23"/>
        <w:gridCol w:w="23"/>
        <w:gridCol w:w="23"/>
        <w:gridCol w:w="695"/>
        <w:gridCol w:w="23"/>
        <w:gridCol w:w="23"/>
        <w:gridCol w:w="125"/>
        <w:gridCol w:w="650"/>
        <w:gridCol w:w="80"/>
        <w:gridCol w:w="23"/>
        <w:gridCol w:w="174"/>
        <w:gridCol w:w="970"/>
        <w:gridCol w:w="80"/>
        <w:gridCol w:w="23"/>
        <w:gridCol w:w="160"/>
        <w:gridCol w:w="970"/>
        <w:gridCol w:w="80"/>
        <w:gridCol w:w="23"/>
        <w:gridCol w:w="210"/>
        <w:gridCol w:w="1103"/>
        <w:gridCol w:w="82"/>
      </w:tblGrid>
      <w:tr>
        <w:trPr/>
        <w:tc>
          <w:tcPr>
            <w:tcW w:w="29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Common stock</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3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Treasury stock</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44"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Additional paid-in</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30"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Accumulated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13" w:type="dxa"/>
            <w:gridSpan w:val="2"/>
            <w:tcBorders/>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Total shareholders'</w:t>
            </w:r>
          </w:p>
        </w:tc>
        <w:tc>
          <w:tcPr>
            <w:tcW w:w="82" w:type="dxa"/>
            <w:tcBorders/>
            <w:vAlign w:val="center"/>
          </w:tcPr>
          <w:p>
            <w:pPr>
              <w:pStyle w:val="TableContents"/>
              <w:bidi w:val="0"/>
              <w:spacing w:before="0" w:after="0"/>
              <w:ind w:left="0" w:right="0" w:hanging="0"/>
              <w:jc w:val="left"/>
              <w:rPr/>
            </w:pPr>
            <w:r>
              <w:rPr/>
              <w:t>​</w:t>
            </w:r>
          </w:p>
        </w:tc>
      </w:tr>
      <w:tr>
        <w:trPr/>
        <w:tc>
          <w:tcPr>
            <w:tcW w:w="29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Amount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Shares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Amount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capital</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deficit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equity</w:t>
            </w:r>
          </w:p>
        </w:tc>
        <w:tc>
          <w:tcPr>
            <w:tcW w:w="82" w:type="dxa"/>
            <w:tcBorders/>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 at March 31, 2026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30,584,307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768,595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(11,407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467,955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(443,316</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13,286</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Vesting of restricted stock units and issuance of stock under incentive plans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419,555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shd w:fill="FFFFFF" w:val="clear"/>
            <w:vAlign w:val="center"/>
          </w:tcPr>
          <w:p>
            <w:pPr>
              <w:pStyle w:val="TableContents"/>
              <w:bidi w:val="0"/>
              <w:spacing w:before="0" w:after="0"/>
              <w:ind w:left="0" w:right="0" w:hanging="0"/>
              <w:jc w:val="left"/>
              <w:rPr/>
            </w:pPr>
            <w:r>
              <w:rPr/>
              <w:t>​</w:t>
            </w:r>
          </w:p>
        </w:tc>
        <w:tc>
          <w:tcPr>
            <w:tcW w:w="4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pPr>
            <w:r>
              <w:rPr/>
              <w:t>​</w:t>
            </w:r>
          </w:p>
        </w:tc>
        <w:tc>
          <w:tcPr>
            <w:tcW w:w="1103"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995</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pre-funded warrants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1,358,415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shd w:fill="FFFFFF" w:val="clear"/>
            <w:vAlign w:val="center"/>
          </w:tcPr>
          <w:p>
            <w:pPr>
              <w:pStyle w:val="TableContents"/>
              <w:bidi w:val="0"/>
              <w:spacing w:before="0" w:after="0"/>
              <w:ind w:left="0" w:right="0" w:hanging="0"/>
              <w:jc w:val="left"/>
              <w:rPr/>
            </w:pPr>
            <w:r>
              <w:rPr/>
              <w:t>​</w:t>
            </w:r>
          </w:p>
        </w:tc>
        <w:tc>
          <w:tcPr>
            <w:tcW w:w="47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pPr>
            <w:r>
              <w:rPr/>
              <w:t>​</w:t>
            </w:r>
          </w:p>
        </w:tc>
        <w:tc>
          <w:tcPr>
            <w:tcW w:w="1103"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4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(6,177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(6,177</w:t>
            </w:r>
          </w:p>
        </w:tc>
        <w:tc>
          <w:tcPr>
            <w:tcW w:w="8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 at June 30, 2026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32,362,277</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768,595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(11,407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468,949</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(449,493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8,104</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lef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 at December 31, 2025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30,404,779</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768,595</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(11,407</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467,528</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(437,962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18,212</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Vesting of restricted stock units and issuance of stock under incentive plans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513,369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shd w:fill="FFFFFF" w:val="clear"/>
            <w:vAlign w:val="center"/>
          </w:tcPr>
          <w:p>
            <w:pPr>
              <w:pStyle w:val="TableContents"/>
              <w:bidi w:val="0"/>
              <w:spacing w:before="0" w:after="0"/>
              <w:ind w:left="0" w:right="0" w:hanging="0"/>
              <w:jc w:val="left"/>
              <w:rPr/>
            </w:pPr>
            <w:r>
              <w:rPr/>
              <w:t>​</w:t>
            </w:r>
          </w:p>
        </w:tc>
        <w:tc>
          <w:tcPr>
            <w:tcW w:w="47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pPr>
            <w:r>
              <w:rPr/>
              <w:t>​</w:t>
            </w:r>
          </w:p>
        </w:tc>
        <w:tc>
          <w:tcPr>
            <w:tcW w:w="11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1,423</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pre-funded warrants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1,444,129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(11,531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(11,531</w:t>
            </w:r>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 at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32,362,277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768,595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(11,407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468,949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(449,493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8,104</w:t>
            </w:r>
          </w:p>
        </w:tc>
        <w:tc>
          <w:tcPr>
            <w:tcW w:w="8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905"/>
        <w:gridCol w:w="23"/>
        <w:gridCol w:w="23"/>
        <w:gridCol w:w="950"/>
        <w:gridCol w:w="23"/>
        <w:gridCol w:w="23"/>
        <w:gridCol w:w="225"/>
        <w:gridCol w:w="470"/>
        <w:gridCol w:w="23"/>
        <w:gridCol w:w="23"/>
        <w:gridCol w:w="23"/>
        <w:gridCol w:w="695"/>
        <w:gridCol w:w="23"/>
        <w:gridCol w:w="23"/>
        <w:gridCol w:w="125"/>
        <w:gridCol w:w="650"/>
        <w:gridCol w:w="80"/>
        <w:gridCol w:w="23"/>
        <w:gridCol w:w="174"/>
        <w:gridCol w:w="970"/>
        <w:gridCol w:w="80"/>
        <w:gridCol w:w="23"/>
        <w:gridCol w:w="160"/>
        <w:gridCol w:w="970"/>
        <w:gridCol w:w="80"/>
        <w:gridCol w:w="23"/>
        <w:gridCol w:w="210"/>
        <w:gridCol w:w="1103"/>
        <w:gridCol w:w="82"/>
      </w:tblGrid>
      <w:tr>
        <w:trPr/>
        <w:tc>
          <w:tcPr>
            <w:tcW w:w="29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1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Common stock</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39"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Treasury stock</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44"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 paid-in</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30"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Accumulated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13" w:type="dxa"/>
            <w:gridSpan w:val="2"/>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Total shareholders'</w:t>
            </w:r>
          </w:p>
        </w:tc>
        <w:tc>
          <w:tcPr>
            <w:tcW w:w="82" w:type="dxa"/>
            <w:tcBorders/>
            <w:vAlign w:val="center"/>
          </w:tcPr>
          <w:p>
            <w:pPr>
              <w:pStyle w:val="TableContents"/>
              <w:bidi w:val="0"/>
              <w:spacing w:before="0" w:after="0"/>
              <w:ind w:left="0" w:right="0" w:hanging="0"/>
              <w:jc w:val="left"/>
              <w:rPr/>
            </w:pPr>
            <w:r>
              <w:rPr/>
              <w:t>​</w:t>
            </w:r>
          </w:p>
        </w:tc>
      </w:tr>
      <w:tr>
        <w:trPr/>
        <w:tc>
          <w:tcPr>
            <w:tcW w:w="290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97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1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Shares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4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capital</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deficit</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equity</w:t>
            </w:r>
          </w:p>
        </w:tc>
        <w:tc>
          <w:tcPr>
            <w:tcW w:w="82" w:type="dxa"/>
            <w:tcBorders/>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 at March 31, 2025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21,412,255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768,595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(11,407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452,459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(419,064</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22,035</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Vesting of restricted stock units and issuance of stock under incentive plans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317,830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shd w:fill="FFFFFF" w:val="clear"/>
            <w:vAlign w:val="center"/>
          </w:tcPr>
          <w:p>
            <w:pPr>
              <w:pStyle w:val="TableContents"/>
              <w:bidi w:val="0"/>
              <w:spacing w:before="0" w:after="0"/>
              <w:ind w:left="0" w:right="0" w:hanging="0"/>
              <w:jc w:val="left"/>
              <w:rPr/>
            </w:pPr>
            <w:r>
              <w:rPr/>
              <w:t>​</w:t>
            </w:r>
          </w:p>
        </w:tc>
        <w:tc>
          <w:tcPr>
            <w:tcW w:w="4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pPr>
            <w:r>
              <w:rPr/>
              <w:t>​</w:t>
            </w:r>
          </w:p>
        </w:tc>
        <w:tc>
          <w:tcPr>
            <w:tcW w:w="1103"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pre-funded warrants and common stock warrants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shd w:fill="FFFFFF" w:val="clear"/>
            <w:vAlign w:val="center"/>
          </w:tcPr>
          <w:p>
            <w:pPr>
              <w:pStyle w:val="TableContents"/>
              <w:bidi w:val="0"/>
              <w:spacing w:before="0" w:after="0"/>
              <w:ind w:left="0" w:right="0" w:hanging="0"/>
              <w:jc w:val="left"/>
              <w:rPr/>
            </w:pPr>
            <w:r>
              <w:rPr/>
              <w:t>​</w:t>
            </w:r>
          </w:p>
        </w:tc>
        <w:tc>
          <w:tcPr>
            <w:tcW w:w="47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3,972</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pPr>
            <w:r>
              <w:rPr/>
              <w:t>​</w:t>
            </w:r>
          </w:p>
        </w:tc>
        <w:tc>
          <w:tcPr>
            <w:tcW w:w="11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3,972</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pre-funded warrants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3,307,249</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(7,223</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(7,223</w:t>
            </w:r>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 at June 30, 2025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25,037,334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768,595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(11,407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456,767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(426,287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19,123</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shd w:fill="FFFFFF" w:val="clear"/>
            <w:vAlign w:val="center"/>
          </w:tcPr>
          <w:p>
            <w:pPr>
              <w:pStyle w:val="TableContents"/>
              <w:bidi w:val="0"/>
              <w:spacing w:before="0" w:after="0"/>
              <w:ind w:left="0" w:right="0" w:hanging="0"/>
              <w:jc w:val="left"/>
              <w:rPr/>
            </w:pPr>
            <w:r>
              <w:rPr/>
              <w:t>​</w:t>
            </w:r>
          </w:p>
        </w:tc>
        <w:tc>
          <w:tcPr>
            <w:tcW w:w="47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5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lef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pPr>
            <w:r>
              <w:rPr/>
              <w:t>​</w:t>
            </w:r>
          </w:p>
        </w:tc>
        <w:tc>
          <w:tcPr>
            <w:tcW w:w="1103" w:type="dxa"/>
            <w:tcBorders/>
            <w:shd w:fill="FFFFFF" w:val="clear"/>
            <w:vAlign w:val="center"/>
          </w:tcPr>
          <w:p>
            <w:pPr>
              <w:pStyle w:val="TableContents"/>
              <w:bidi w:val="0"/>
              <w:spacing w:before="0" w:after="0"/>
              <w:ind w:left="0" w:right="0" w:hanging="0"/>
              <w:jc w:val="lef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 at December 31, 2024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20,791,431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768,595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(11,407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447,110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(410,795</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24,955</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Vesting of restricted stock units and issuance of stock under incentive plans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317,830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shd w:fill="FFFFFF" w:val="clear"/>
            <w:vAlign w:val="center"/>
          </w:tcPr>
          <w:p>
            <w:pPr>
              <w:pStyle w:val="TableContents"/>
              <w:bidi w:val="0"/>
              <w:spacing w:before="0" w:after="0"/>
              <w:ind w:left="0" w:right="0" w:hanging="0"/>
              <w:jc w:val="left"/>
              <w:rPr/>
            </w:pPr>
            <w:r>
              <w:rPr/>
              <w:t>​</w:t>
            </w:r>
          </w:p>
        </w:tc>
        <w:tc>
          <w:tcPr>
            <w:tcW w:w="4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pPr>
            <w:r>
              <w:rPr/>
              <w:t>​</w:t>
            </w:r>
          </w:p>
        </w:tc>
        <w:tc>
          <w:tcPr>
            <w:tcW w:w="1103" w:type="dxa"/>
            <w:tcBorders/>
            <w:shd w:fill="FFFFFF" w:val="clear"/>
            <w:vAlign w:val="center"/>
          </w:tcPr>
          <w:p>
            <w:pPr>
              <w:pStyle w:val="TableContents"/>
              <w:bidi w:val="0"/>
              <w:spacing w:before="0" w:after="0"/>
              <w:ind w:left="0" w:right="0" w:hanging="0"/>
              <w:jc w:val="right"/>
              <w:rPr/>
            </w:pPr>
            <w:r>
              <w:rPr/>
              <w:t>—</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Share-based compensation expense</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688</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688</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Issuance of pre-funded warrants and common stock warrants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95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shd w:fill="FFFFFF" w:val="clear"/>
            <w:vAlign w:val="center"/>
          </w:tcPr>
          <w:p>
            <w:pPr>
              <w:pStyle w:val="TableContents"/>
              <w:bidi w:val="0"/>
              <w:spacing w:before="0" w:after="0"/>
              <w:ind w:left="0" w:right="0" w:hanging="0"/>
              <w:jc w:val="left"/>
              <w:rPr/>
            </w:pPr>
            <w:r>
              <w:rPr/>
              <w:t>​</w:t>
            </w:r>
          </w:p>
        </w:tc>
        <w:tc>
          <w:tcPr>
            <w:tcW w:w="47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9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shd w:fill="FFFFFF" w:val="clear"/>
            <w:vAlign w:val="center"/>
          </w:tcPr>
          <w:p>
            <w:pPr>
              <w:pStyle w:val="TableContents"/>
              <w:bidi w:val="0"/>
              <w:spacing w:before="0" w:after="0"/>
              <w:ind w:left="0" w:right="0" w:hanging="0"/>
              <w:jc w:val="left"/>
              <w:rPr/>
            </w:pPr>
            <w:r>
              <w:rPr/>
              <w:t>​</w:t>
            </w:r>
          </w:p>
        </w:tc>
        <w:tc>
          <w:tcPr>
            <w:tcW w:w="65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8,972</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0"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shd w:fill="FFFFFF" w:val="clear"/>
            <w:vAlign w:val="center"/>
          </w:tcPr>
          <w:p>
            <w:pPr>
              <w:pStyle w:val="TableContents"/>
              <w:bidi w:val="0"/>
              <w:spacing w:before="0" w:after="0"/>
              <w:ind w:left="0" w:right="0" w:hanging="0"/>
              <w:jc w:val="left"/>
              <w:rPr/>
            </w:pPr>
            <w:r>
              <w:rPr/>
              <w:t>​</w:t>
            </w:r>
          </w:p>
        </w:tc>
        <w:tc>
          <w:tcPr>
            <w:tcW w:w="110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8,972</w:t>
            </w:r>
          </w:p>
        </w:tc>
        <w:tc>
          <w:tcPr>
            <w:tcW w:w="82" w:type="dxa"/>
            <w:tcBorders/>
            <w:shd w:fill="FFFFFF" w:val="clear"/>
            <w:vAlign w:val="center"/>
          </w:tcPr>
          <w:p>
            <w:pPr>
              <w:pStyle w:val="TableContents"/>
              <w:bidi w:val="0"/>
              <w:spacing w:before="0" w:after="0"/>
              <w:ind w:left="0" w:right="0" w:hanging="0"/>
              <w:jc w:val="left"/>
              <w:rPr/>
            </w:pPr>
            <w:r>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 of pre-funded warrants</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95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3,928,073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shd w:fill="CCEEFF" w:val="clear"/>
            <w:vAlign w:val="center"/>
          </w:tcPr>
          <w:p>
            <w:pPr>
              <w:pStyle w:val="TableContents"/>
              <w:bidi w:val="0"/>
              <w:spacing w:before="0" w:after="0"/>
              <w:ind w:left="0" w:right="0" w:hanging="0"/>
              <w:jc w:val="left"/>
              <w:rPr/>
            </w:pPr>
            <w:r>
              <w:rPr/>
              <w:t>​</w:t>
            </w:r>
          </w:p>
        </w:tc>
        <w:tc>
          <w:tcPr>
            <w:tcW w:w="4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9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shd w:fill="CCEEFF" w:val="clear"/>
            <w:vAlign w:val="center"/>
          </w:tcPr>
          <w:p>
            <w:pPr>
              <w:pStyle w:val="TableContents"/>
              <w:bidi w:val="0"/>
              <w:spacing w:before="0" w:after="0"/>
              <w:ind w:left="0" w:right="0" w:hanging="0"/>
              <w:jc w:val="left"/>
              <w:rPr/>
            </w:pPr>
            <w:r>
              <w:rPr/>
              <w:t>​</w:t>
            </w:r>
          </w:p>
        </w:tc>
        <w:tc>
          <w:tcPr>
            <w:tcW w:w="65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0"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shd w:fill="CCEEFF" w:val="clear"/>
            <w:vAlign w:val="center"/>
          </w:tcPr>
          <w:p>
            <w:pPr>
              <w:pStyle w:val="TableContents"/>
              <w:bidi w:val="0"/>
              <w:spacing w:before="0" w:after="0"/>
              <w:ind w:left="0" w:right="0" w:hanging="0"/>
              <w:jc w:val="left"/>
              <w:rPr/>
            </w:pPr>
            <w:r>
              <w:rPr/>
              <w:t>​</w:t>
            </w:r>
          </w:p>
        </w:tc>
        <w:tc>
          <w:tcPr>
            <w:tcW w:w="1103" w:type="dxa"/>
            <w:tcBorders/>
            <w:shd w:fill="CCEEFF" w:val="clear"/>
            <w:vAlign w:val="center"/>
          </w:tcPr>
          <w:p>
            <w:pPr>
              <w:pStyle w:val="TableContents"/>
              <w:bidi w:val="0"/>
              <w:spacing w:before="0" w:after="0"/>
              <w:ind w:left="0" w:right="0" w:hanging="0"/>
              <w:jc w:val="right"/>
              <w:rPr/>
            </w:pPr>
            <w:r>
              <w:rPr/>
              <w:t>—</w:t>
            </w:r>
          </w:p>
        </w:tc>
        <w:tc>
          <w:tcPr>
            <w:tcW w:w="82" w:type="dxa"/>
            <w:tcBorders/>
            <w:shd w:fill="CCEEFF" w:val="clear"/>
            <w:vAlign w:val="center"/>
          </w:tcPr>
          <w:p>
            <w:pPr>
              <w:pStyle w:val="TableContents"/>
              <w:bidi w:val="0"/>
              <w:spacing w:before="0" w:after="0"/>
              <w:ind w:left="0" w:right="0" w:hanging="0"/>
              <w:jc w:val="left"/>
              <w:rPr/>
            </w:pPr>
            <w:r>
              <w:rPr/>
              <w:t>​</w:t>
            </w:r>
          </w:p>
        </w:tc>
      </w:tr>
      <w:tr>
        <w:trPr/>
        <w:tc>
          <w:tcPr>
            <w:tcW w:w="290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Net loss</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7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(15,492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10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(15,492</w:t>
            </w:r>
          </w:p>
        </w:tc>
        <w:tc>
          <w:tcPr>
            <w:tcW w:w="8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905" w:type="dxa"/>
            <w:tcBorders/>
            <w:shd w:fill="CCEEFF" w:val="clear"/>
            <w:vAlign w:val="center"/>
          </w:tcPr>
          <w:p>
            <w:pPr>
              <w:pStyle w:val="TableContents"/>
              <w:bidi w:val="0"/>
              <w:spacing w:before="0" w:after="0"/>
              <w:ind w:left="0" w:right="0" w:hanging="0"/>
              <w:jc w:val="left"/>
              <w:rPr>
                <w:rFonts w:ascii="Times New Roman" w:hAnsi="Times New Roman"/>
                <w:b/>
                <w:sz w:val="20"/>
              </w:rPr>
            </w:pPr>
            <w:r>
              <w:rPr>
                <w:rFonts w:ascii="Times New Roman" w:hAnsi="Times New Roman"/>
                <w:b/>
                <w:sz w:val="20"/>
              </w:rPr>
              <w:t>Balance at June 30, 2025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25,037,334</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695"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768,595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(11,407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456,767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(426,287</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19,123</w:t>
            </w:r>
          </w:p>
        </w:tc>
        <w:tc>
          <w:tcPr>
            <w:tcW w:w="82"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8" w:name="cashflow"/>
      <w:bookmarkEnd w:id="8"/>
      <w:r>
        <w:rPr>
          <w:rFonts w:ascii="Times New Roman;Times;serif" w:hAnsi="Times New Roman;Times;serif"/>
          <w:b/>
          <w:sz w:val="20"/>
        </w:rPr>
        <w:t>FLUENT,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CONSOLIDATED STATEMENTS OF CASH FLOWS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(Amounts in thousands)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xml:space="preserve"> </w:t>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833"/>
        <w:gridCol w:w="23"/>
        <w:gridCol w:w="160"/>
        <w:gridCol w:w="974"/>
        <w:gridCol w:w="102"/>
        <w:gridCol w:w="29"/>
        <w:gridCol w:w="160"/>
        <w:gridCol w:w="839"/>
        <w:gridCol w:w="85"/>
      </w:tblGrid>
      <w:tr>
        <w:trPr/>
        <w:tc>
          <w:tcPr>
            <w:tcW w:w="783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26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5" w:type="dxa"/>
            <w:tcBorders/>
            <w:vAlign w:val="center"/>
          </w:tcPr>
          <w:p>
            <w:pPr>
              <w:pStyle w:val="TableContents"/>
              <w:bidi w:val="0"/>
              <w:spacing w:before="0" w:after="0"/>
              <w:ind w:left="0" w:right="0" w:hanging="0"/>
              <w:jc w:val="left"/>
              <w:rPr/>
            </w:pPr>
            <w:r>
              <w:rPr/>
              <w:t>​</w:t>
            </w:r>
          </w:p>
        </w:tc>
      </w:tr>
      <w:tr>
        <w:trPr/>
        <w:tc>
          <w:tcPr>
            <w:tcW w:w="783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1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2" w:type="dxa"/>
            <w:tcBorders/>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99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5" w:type="dxa"/>
            <w:tcBorders/>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OPERATING ACTIVITIES: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(11,531</w:t>
            </w:r>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(15,492</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CCEEFF" w:val="clear"/>
            <w:vAlign w:val="center"/>
          </w:tcPr>
          <w:p>
            <w:pPr>
              <w:pStyle w:val="TableContents"/>
              <w:bidi w:val="0"/>
              <w:spacing w:before="0" w:after="0"/>
              <w:ind w:left="180" w:right="0" w:hanging="0"/>
              <w:jc w:val="left"/>
              <w:rPr>
                <w:rFonts w:ascii="Times New Roman" w:hAnsi="Times New Roman"/>
                <w:b/>
                <w:caps w:val="false"/>
                <w:smallCaps w:val="false"/>
                <w:sz w:val="20"/>
              </w:rPr>
            </w:pPr>
            <w:r>
              <w:rPr>
                <w:rFonts w:ascii="Times New Roman" w:hAnsi="Times New Roman"/>
                <w:b/>
                <w:caps w:val="false"/>
                <w:smallCaps w:val="false"/>
                <w:sz w:val="20"/>
              </w:rPr>
              <w:t>Adjustments to reconcile net loss to net cash provided by operating activities: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3,391</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4,940</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Non-cash loan amortization expense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365</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Non-cash gain on divestiture</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(2,352</w:t>
            </w:r>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2,792</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666</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Fair value adjustment of Convertible Notes with related parties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1,421</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(398</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Loss on disposal of asset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Non-cash loss on asset write-off</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righ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698</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Allowance for credit losses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478</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180" w:right="0" w:hanging="0"/>
              <w:jc w:val="left"/>
              <w:rPr>
                <w:rFonts w:ascii="Times New Roman" w:hAnsi="Times New Roman"/>
                <w:sz w:val="20"/>
              </w:rPr>
            </w:pPr>
            <w:r>
              <w:rPr>
                <w:rFonts w:ascii="Times New Roman" w:hAnsi="Times New Roman"/>
                <w:sz w:val="20"/>
              </w:rPr>
              <w:t>Changes in assets and liabilities, net of business acquisitions: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left"/>
              <w:rPr/>
            </w:pPr>
            <w:r>
              <w:rPr/>
              <w:t>​</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7,286</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15,287</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Prepaid expenses and other current assets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1,142</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(490</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 non-current assets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w:t>
            </w:r>
          </w:p>
        </w:tc>
        <w:tc>
          <w:tcPr>
            <w:tcW w:w="1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134</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Operating lease assets and liabilities, net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(69</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Accounts payable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1,029</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Accrued expenses and other current liabilities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(2,864</w:t>
            </w:r>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(2,329</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Deferred revenue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(601</w:t>
            </w:r>
          </w:p>
        </w:tc>
        <w:tc>
          <w:tcPr>
            <w:tcW w:w="1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(221</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Other</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w:t>
            </w:r>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CCEE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cash provided by operating activities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3,047</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INVESTING ACTIVITIES: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left"/>
              <w:rPr/>
            </w:pPr>
            <w:r>
              <w:rPr/>
              <w:t>​</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Capitalized costs included in intangible assets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(3,203</w:t>
            </w:r>
          </w:p>
        </w:tc>
        <w:tc>
          <w:tcPr>
            <w:tcW w:w="1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(3,200</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FFFF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Proceeds from note receivable</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282</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right"/>
              <w:rPr/>
            </w:pPr>
            <w:r>
              <w:rPr/>
              <w:t>—</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Acquisition of property and equipment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(88</w:t>
            </w:r>
          </w:p>
        </w:tc>
        <w:tc>
          <w:tcPr>
            <w:tcW w:w="1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investing activities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(3,009</w:t>
            </w:r>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(3,231</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 FROM FINANCING ACTIVITIES: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lef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left"/>
              <w:rPr/>
            </w:pPr>
            <w:r>
              <w:rPr/>
              <w:t>​</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issuance of short and long-term debt</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115,717</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34,332</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Repayments of short and long-term debt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(119,086</w:t>
            </w:r>
          </w:p>
        </w:tc>
        <w:tc>
          <w:tcPr>
            <w:tcW w:w="1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(46,377</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20"/>
              </w:rPr>
            </w:pPr>
            <w:r>
              <w:rPr>
                <w:rFonts w:ascii="Times New Roman" w:hAnsi="Times New Roman"/>
                <w:caps w:val="false"/>
                <w:smallCaps w:val="false"/>
                <w:sz w:val="20"/>
              </w:rPr>
              <w:t>Debt financing costs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righ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CCEEFF" w:val="clear"/>
            <w:vAlign w:val="center"/>
          </w:tcPr>
          <w:p>
            <w:pPr>
              <w:pStyle w:val="TableContents"/>
              <w:bidi w:val="0"/>
              <w:spacing w:before="0" w:after="0"/>
              <w:ind w:left="0" w:right="0" w:firstLine="360"/>
              <w:jc w:val="left"/>
              <w:rPr>
                <w:rFonts w:ascii="Times New Roman" w:hAnsi="Times New Roman"/>
                <w:sz w:val="20"/>
              </w:rPr>
            </w:pPr>
            <w:r>
              <w:rPr>
                <w:rFonts w:ascii="Times New Roman" w:hAnsi="Times New Roman"/>
                <w:sz w:val="20"/>
              </w:rPr>
              <w:t>Proceeds from issuance of pre-funded and common stock warrants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8,972</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540" w:right="0" w:hanging="0"/>
              <w:jc w:val="left"/>
              <w:rPr>
                <w:rFonts w:ascii="Times New Roman" w:hAnsi="Times New Roman"/>
                <w:b/>
                <w:caps w:val="false"/>
                <w:smallCaps w:val="false"/>
                <w:sz w:val="20"/>
              </w:rPr>
            </w:pPr>
            <w:r>
              <w:rPr>
                <w:rFonts w:ascii="Times New Roman" w:hAnsi="Times New Roman"/>
                <w:b/>
                <w:caps w:val="false"/>
                <w:smallCaps w:val="false"/>
                <w:sz w:val="20"/>
              </w:rPr>
              <w:t>Net cash used in financing activities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(3,369</w:t>
            </w:r>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(3,198</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decrease in cash, cash equivalents, and restricted cash</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(6,058</w:t>
            </w:r>
          </w:p>
        </w:tc>
        <w:tc>
          <w:tcPr>
            <w:tcW w:w="10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pPr>
            <w:r>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(3,382</w:t>
            </w:r>
          </w:p>
        </w:tc>
        <w:tc>
          <w:tcPr>
            <w:tcW w:w="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beginning of period</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7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13,645</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83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10,694</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cash equivalents, and restricted cash at end of period</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7,587</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7,312</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 INFORMATION</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left"/>
              <w:rPr/>
            </w:pPr>
            <w:r>
              <w:rPr/>
              <w:t>​</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paid for interest</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1,290</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1,353</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Cash refunded for income taxes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(119</w:t>
            </w:r>
          </w:p>
        </w:tc>
        <w:tc>
          <w:tcPr>
            <w:tcW w:w="10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w:t>
            </w:r>
          </w:p>
        </w:tc>
        <w:tc>
          <w:tcPr>
            <w:tcW w:w="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783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 capitalized in intangible assets</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w:t>
            </w:r>
          </w:p>
        </w:tc>
        <w:tc>
          <w:tcPr>
            <w:tcW w:w="85" w:type="dxa"/>
            <w:tcBorders/>
            <w:shd w:fill="CCEEFF" w:val="clear"/>
            <w:vAlign w:val="center"/>
          </w:tcPr>
          <w:p>
            <w:pPr>
              <w:pStyle w:val="TableContents"/>
              <w:bidi w:val="0"/>
              <w:spacing w:before="0" w:after="0"/>
              <w:ind w:left="0" w:right="0" w:hanging="0"/>
              <w:jc w:val="left"/>
              <w:rPr/>
            </w:pPr>
            <w:r>
              <w:rPr/>
              <w:t>​</w:t>
            </w:r>
          </w:p>
        </w:tc>
      </w:tr>
      <w:tr>
        <w:trPr/>
        <w:tc>
          <w:tcPr>
            <w:tcW w:w="783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SUPPLEMENTAL DISCLOSURE OF NON-CASH INVESTING AND FINANCING ACTIVITIES</w:t>
            </w:r>
          </w:p>
        </w:tc>
        <w:tc>
          <w:tcPr>
            <w:tcW w:w="23"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974" w:type="dxa"/>
            <w:tcBorders/>
            <w:shd w:fill="FFFFFF" w:val="clear"/>
            <w:vAlign w:val="center"/>
          </w:tcPr>
          <w:p>
            <w:pPr>
              <w:pStyle w:val="TableContents"/>
              <w:bidi w:val="0"/>
              <w:spacing w:before="0" w:after="0"/>
              <w:ind w:left="0" w:right="0" w:hanging="0"/>
              <w:jc w:val="left"/>
              <w:rPr/>
            </w:pPr>
            <w:r>
              <w:rPr/>
              <w:t>​</w:t>
            </w:r>
          </w:p>
        </w:tc>
        <w:tc>
          <w:tcPr>
            <w:tcW w:w="102"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160" w:type="dxa"/>
            <w:tcBorders/>
            <w:shd w:fill="FFFFFF" w:val="clear"/>
            <w:vAlign w:val="center"/>
          </w:tcPr>
          <w:p>
            <w:pPr>
              <w:pStyle w:val="TableContents"/>
              <w:bidi w:val="0"/>
              <w:spacing w:before="0" w:after="0"/>
              <w:ind w:left="0" w:right="0" w:hanging="0"/>
              <w:jc w:val="left"/>
              <w:rPr/>
            </w:pPr>
            <w:r>
              <w:rPr/>
              <w:t>​</w:t>
            </w:r>
          </w:p>
        </w:tc>
        <w:tc>
          <w:tcPr>
            <w:tcW w:w="839" w:type="dxa"/>
            <w:tcBorders/>
            <w:shd w:fill="FFFFFF" w:val="clear"/>
            <w:vAlign w:val="center"/>
          </w:tcPr>
          <w:p>
            <w:pPr>
              <w:pStyle w:val="TableContents"/>
              <w:bidi w:val="0"/>
              <w:spacing w:before="0" w:after="0"/>
              <w:ind w:left="0" w:right="0" w:hanging="0"/>
              <w:jc w:val="left"/>
              <w:rPr/>
            </w:pPr>
            <w:r>
              <w:rPr/>
              <w:t>​</w:t>
            </w:r>
          </w:p>
        </w:tc>
        <w:tc>
          <w:tcPr>
            <w:tcW w:w="85" w:type="dxa"/>
            <w:tcBorders/>
            <w:shd w:fill="FFFFFF" w:val="clear"/>
            <w:vAlign w:val="center"/>
          </w:tcPr>
          <w:p>
            <w:pPr>
              <w:pStyle w:val="TableContents"/>
              <w:bidi w:val="0"/>
              <w:spacing w:before="0" w:after="0"/>
              <w:ind w:left="0" w:right="0" w:hanging="0"/>
              <w:jc w:val="left"/>
              <w:rPr/>
            </w:pPr>
            <w:r>
              <w:rPr/>
              <w:t>​</w:t>
            </w:r>
          </w:p>
        </w:tc>
      </w:tr>
      <w:tr>
        <w:trPr/>
        <w:tc>
          <w:tcPr>
            <w:tcW w:w="7833" w:type="dxa"/>
            <w:tcBorders/>
            <w:shd w:fill="CCEEFF" w:val="clear"/>
            <w:vAlign w:val="center"/>
          </w:tcPr>
          <w:p>
            <w:pPr>
              <w:pStyle w:val="TableContents"/>
              <w:bidi w:val="0"/>
              <w:spacing w:before="0" w:after="0"/>
              <w:ind w:left="360" w:right="0" w:hanging="0"/>
              <w:jc w:val="left"/>
              <w:rPr>
                <w:rFonts w:ascii="Times New Roman" w:hAnsi="Times New Roman"/>
                <w:sz w:val="20"/>
              </w:rPr>
            </w:pPr>
            <w:r>
              <w:rPr>
                <w:rFonts w:ascii="Times New Roman" w:hAnsi="Times New Roman"/>
                <w:sz w:val="20"/>
              </w:rPr>
              <w:t>Note receivable issuance for Call Solutions divestiture</w:t>
            </w:r>
          </w:p>
        </w:tc>
        <w:tc>
          <w:tcPr>
            <w:tcW w:w="23"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3,000</w:t>
            </w:r>
          </w:p>
        </w:tc>
        <w:tc>
          <w:tcPr>
            <w:tcW w:w="102"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16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39" w:type="dxa"/>
            <w:tcBorders/>
            <w:shd w:fill="CCEEFF" w:val="clear"/>
            <w:vAlign w:val="center"/>
          </w:tcPr>
          <w:p>
            <w:pPr>
              <w:pStyle w:val="TableContents"/>
              <w:bidi w:val="0"/>
              <w:spacing w:before="0" w:after="0"/>
              <w:ind w:left="0" w:right="0" w:hanging="0"/>
              <w:jc w:val="right"/>
              <w:rPr/>
            </w:pPr>
            <w:r>
              <w:rPr/>
              <w:t>—</w:t>
            </w:r>
          </w:p>
        </w:tc>
        <w:tc>
          <w:tcPr>
            <w:tcW w:w="85"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See notes to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9" w:name="notes"/>
      <w:bookmarkEnd w:id="9"/>
      <w:r>
        <w:rPr>
          <w:rFonts w:ascii="Times New Roman;Times;serif" w:hAnsi="Times New Roman;Times;serif"/>
          <w:b/>
          <w:sz w:val="20"/>
        </w:rPr>
        <w:t>FLUENT, INC.</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NOTES TO CONSOLIDATED FINANCIAL STATEMENTS</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(Amounts in thousands, except share and per share data)</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(unaudited)</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b/>
          <w:sz w:val="20"/>
        </w:rPr>
        <w:t>1.</w:t>
      </w:r>
      <w:r>
        <w:rPr>
          <w:rFonts w:ascii="Times New Roman;Times;serif" w:hAnsi="Times New Roman;Times;serif"/>
          <w:b/>
          <w:sz w:val="20"/>
        </w:rPr>
        <w:t xml:space="preserve"> Summary of significant accounting policies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(a) Basis of preparation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accompanying unaudited consolidated financial statements have been prepared by Fluent, Inc., a Delaware corporation (the "Company" or "Fluent"), in accordance with accounting principles generally accepted in the United States ("GAAP" or "U.S. GAAP") and applicable rules and regulations of the Securities and Exchange Commission (the "SEC") regarding interim financial reporting. Certain information and note disclosures normally included in annual financial statements prepared in accordance with GAAP have been condensed or omitted pursuant to those rules and regulations.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The accompanying unaudited consolidated financial statements reflect all normal recurring adjustments necessary to present fairly the financial position, results of operations, and cash flows for the interim periods ended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2025</w:t>
      </w:r>
      <w:r>
        <w:rPr>
          <w:rFonts w:ascii="Times New Roman;Times;serif" w:hAnsi="Times New Roman;Times;serif"/>
          <w:sz w:val="20"/>
        </w:rPr>
        <w:t xml:space="preserve">, but are </w:t>
      </w:r>
      <w:r>
        <w:rPr>
          <w:rStyle w:val="Emphasis"/>
          <w:rFonts w:ascii="Times New Roman;Times;serif" w:hAnsi="Times New Roman;Times;serif"/>
          <w:sz w:val="20"/>
        </w:rPr>
        <w:t>not</w:t>
      </w:r>
      <w:r>
        <w:rPr>
          <w:rFonts w:ascii="Times New Roman;Times;serif" w:hAnsi="Times New Roman;Times;serif"/>
          <w:sz w:val="20"/>
        </w:rPr>
        <w:t xml:space="preserve"> necessarily indicative of the results of operations to be anticipated for any future interim periods or for the full year ending </w:t>
      </w:r>
      <w:r>
        <w:rPr>
          <w:rStyle w:val="Emphasis"/>
          <w:rFonts w:ascii="Times New Roman;Times;serif" w:hAnsi="Times New Roman;Times;serif"/>
          <w:sz w:val="20"/>
        </w:rPr>
        <w:t xml:space="preserve"> December 31, 2026</w:t>
      </w:r>
      <w:r>
        <w:rPr>
          <w:rFonts w:ascii="Times New Roman;Times;serif" w:hAnsi="Times New Roman;Times;serif"/>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From time to time, the Company </w:t>
      </w:r>
      <w:r>
        <w:rPr>
          <w:rStyle w:val="Emphasis"/>
          <w:rFonts w:ascii="Times New Roman;Times;serif" w:hAnsi="Times New Roman;Times;serif"/>
          <w:sz w:val="20"/>
        </w:rPr>
        <w:t xml:space="preserve"> may </w:t>
      </w:r>
      <w:r>
        <w:rPr>
          <w:rFonts w:ascii="Times New Roman;Times;serif" w:hAnsi="Times New Roman;Times;serif"/>
          <w:sz w:val="20"/>
        </w:rPr>
        <w:t xml:space="preserve">enter into relationships or investments with other entities, and, in certain instances, the entity in which the Company has a relationship or investment </w:t>
      </w:r>
      <w:r>
        <w:rPr>
          <w:rStyle w:val="Emphasis"/>
          <w:rFonts w:ascii="Times New Roman;Times;serif" w:hAnsi="Times New Roman;Times;serif"/>
          <w:sz w:val="20"/>
        </w:rPr>
        <w:t>may </w:t>
      </w:r>
      <w:r>
        <w:rPr>
          <w:rFonts w:ascii="Times New Roman;Times;serif" w:hAnsi="Times New Roman;Times;serif"/>
          <w:sz w:val="20"/>
        </w:rPr>
        <w:t>qualify as a variable interest entity ("VIE"). The Company consolidates a VIE in its financial statements if the Company is deemed to be the primary beneficiary of the VIE. The primary beneficiary is the party that has the power to direct activities that most significantly impact the operations of the VIE and has the obligation to absorb losses or the right to benefits from the VIE that could potentially be significant to the VIE.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information included in this Quarterly Report on Form </w:t>
      </w:r>
      <w:r>
        <w:rPr>
          <w:rStyle w:val="Emphasis"/>
          <w:rFonts w:ascii="Times New Roman;Times;serif" w:hAnsi="Times New Roman;Times;serif"/>
          <w:sz w:val="20"/>
        </w:rPr>
        <w:t>10</w:t>
      </w:r>
      <w:r>
        <w:rPr>
          <w:rFonts w:ascii="Times New Roman;Times;serif" w:hAnsi="Times New Roman;Times;serif"/>
          <w:sz w:val="20"/>
        </w:rPr>
        <w:t xml:space="preserve">-Q should be read in conjunction with the consolidated financial statements and accompanying notes included in the Company's Annual Report on Form </w:t>
      </w:r>
      <w:r>
        <w:rPr>
          <w:rStyle w:val="Emphasis"/>
          <w:rFonts w:ascii="Times New Roman;Times;serif" w:hAnsi="Times New Roman;Times;serif"/>
          <w:sz w:val="20"/>
        </w:rPr>
        <w:t>10</w:t>
      </w:r>
      <w:r>
        <w:rPr>
          <w:rFonts w:ascii="Times New Roman;Times;serif" w:hAnsi="Times New Roman;Times;serif"/>
          <w:sz w:val="20"/>
        </w:rPr>
        <w:t>-K for the year ended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filed with the SEC on </w:t>
      </w:r>
      <w:r>
        <w:rPr>
          <w:rStyle w:val="Emphasis"/>
          <w:rFonts w:ascii="Times New Roman;Times;serif" w:hAnsi="Times New Roman;Times;serif"/>
          <w:sz w:val="20"/>
        </w:rPr>
        <w:t>March 31, 2026</w:t>
      </w:r>
      <w:r>
        <w:rPr>
          <w:rFonts w:ascii="Times New Roman;Times;serif" w:hAnsi="Times New Roman;Times;serif"/>
          <w:sz w:val="20"/>
        </w:rPr>
        <w:t xml:space="preserve">, as amended </w:t>
      </w:r>
      <w:r>
        <w:rPr>
          <w:rStyle w:val="Emphasis"/>
          <w:rFonts w:ascii="Times New Roman;Times;serif" w:hAnsi="Times New Roman;Times;serif"/>
          <w:sz w:val="20"/>
        </w:rPr>
        <w:t>April 30, 2026 (</w:t>
      </w:r>
      <w:r>
        <w:rPr>
          <w:rFonts w:ascii="Times New Roman;Times;serif" w:hAnsi="Times New Roman;Times;serif"/>
          <w:sz w:val="20"/>
        </w:rPr>
        <w:t xml:space="preserve">as amended, </w:t>
      </w:r>
      <w:r>
        <w:rPr>
          <w:rStyle w:val="Emphasis"/>
          <w:rFonts w:ascii="Times New Roman;Times;serif" w:hAnsi="Times New Roman;Times;serif"/>
          <w:sz w:val="20"/>
        </w:rPr>
        <w:t>"2025</w:t>
      </w:r>
      <w:r>
        <w:rPr>
          <w:rFonts w:ascii="Times New Roman;Times;serif" w:hAnsi="Times New Roman;Times;serif"/>
          <w:sz w:val="20"/>
        </w:rPr>
        <w:t xml:space="preserve"> Form </w:t>
      </w:r>
      <w:r>
        <w:rPr>
          <w:rStyle w:val="Emphasis"/>
          <w:rFonts w:ascii="Times New Roman;Times;serif" w:hAnsi="Times New Roman;Times;serif"/>
          <w:sz w:val="20"/>
        </w:rPr>
        <w:t>10</w:t>
      </w:r>
      <w:r>
        <w:rPr>
          <w:rFonts w:ascii="Times New Roman;Times;serif" w:hAnsi="Times New Roman;Times;serif"/>
          <w:sz w:val="20"/>
        </w:rPr>
        <w:t>-K"). The consolidated balance sheet as of </w:t>
      </w:r>
      <w:r>
        <w:rPr>
          <w:rStyle w:val="Emphasis"/>
          <w:rFonts w:ascii="Times New Roman;Times;serif" w:hAnsi="Times New Roman;Times;serif"/>
          <w:sz w:val="20"/>
        </w:rPr>
        <w:t xml:space="preserve"> December 31, 2025</w:t>
      </w:r>
      <w:r>
        <w:rPr>
          <w:rFonts w:ascii="Times New Roman;Times;serif" w:hAnsi="Times New Roman;Times;serif"/>
          <w:sz w:val="20"/>
        </w:rPr>
        <w:t> included herein was derived from the audited financial statements as of that date and included in the </w:t>
      </w:r>
      <w:r>
        <w:rPr>
          <w:rStyle w:val="Emphasis"/>
          <w:rFonts w:ascii="Times New Roman;Times;serif" w:hAnsi="Times New Roman;Times;serif"/>
          <w:sz w:val="20"/>
        </w:rPr>
        <w:t>2025</w:t>
      </w:r>
      <w:r>
        <w:rPr>
          <w:rFonts w:ascii="Times New Roman;Times;serif" w:hAnsi="Times New Roman;Times;serif"/>
          <w:sz w:val="20"/>
        </w:rPr>
        <w:t xml:space="preserve"> Form </w:t>
      </w:r>
      <w:r>
        <w:rPr>
          <w:rStyle w:val="Emphasis"/>
          <w:rFonts w:ascii="Times New Roman;Times;serif" w:hAnsi="Times New Roman;Times;serif"/>
          <w:sz w:val="20"/>
        </w:rPr>
        <w:t>10</w:t>
      </w:r>
      <w:r>
        <w:rPr>
          <w:rFonts w:ascii="Times New Roman;Times;serif" w:hAnsi="Times New Roman;Times;serif"/>
          <w:sz w:val="20"/>
        </w:rPr>
        <w:t>-K.</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Going concern</w:t>
      </w:r>
      <w:r>
        <w:rPr>
          <w:rFonts w:ascii="Times New Roman;Times;serif" w:hAnsi="Times New Roman;Times;serif"/>
          <w:i/>
          <w:sz w:val="20"/>
        </w:rPr>
        <w:t> </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In accordance with Accounting Standards Codification ("ASC") </w:t>
      </w:r>
      <w:r>
        <w:rPr>
          <w:rStyle w:val="Emphasis"/>
          <w:rFonts w:ascii="Times New Roman;Times;serif" w:hAnsi="Times New Roman;Times;serif"/>
          <w:sz w:val="20"/>
        </w:rPr>
        <w:t>205</w:t>
      </w:r>
      <w:r>
        <w:rPr>
          <w:rFonts w:ascii="Times New Roman;Times;serif" w:hAnsi="Times New Roman;Times;serif"/>
          <w:sz w:val="20"/>
        </w:rPr>
        <w:t>-</w:t>
      </w:r>
      <w:r>
        <w:rPr>
          <w:rStyle w:val="Emphasis"/>
          <w:rFonts w:ascii="Times New Roman;Times;serif" w:hAnsi="Times New Roman;Times;serif"/>
          <w:sz w:val="20"/>
        </w:rPr>
        <w:t>40,</w:t>
      </w:r>
      <w:r>
        <w:rPr>
          <w:rFonts w:ascii="Times New Roman;Times;serif" w:hAnsi="Times New Roman;Times;serif"/>
          <w:sz w:val="20"/>
        </w:rPr>
        <w:t> Presentation of Financial Statements – Going Concern, management must evaluate whether there are conditions and events, considered in the aggregate, that raise substantial doubt about the Company's ability to continue as a going concern for </w:t>
      </w:r>
      <w:r>
        <w:rPr>
          <w:rStyle w:val="Emphasis"/>
          <w:rFonts w:ascii="Times New Roman;Times;serif" w:hAnsi="Times New Roman;Times;serif"/>
          <w:sz w:val="20"/>
        </w:rPr>
        <w:t>one</w:t>
      </w:r>
      <w:r>
        <w:rPr>
          <w:rFonts w:ascii="Times New Roman;Times;serif" w:hAnsi="Times New Roman;Times;serif"/>
          <w:sz w:val="20"/>
        </w:rPr>
        <w:t> year after the date these accompanying unaudited consolidated financial statements are issued (the "issuance date"). As part of this evaluation, management </w:t>
      </w:r>
      <w:r>
        <w:rPr>
          <w:rStyle w:val="Emphasis"/>
          <w:rFonts w:ascii="Times New Roman;Times;serif" w:hAnsi="Times New Roman;Times;serif"/>
          <w:sz w:val="20"/>
        </w:rPr>
        <w:t xml:space="preserve"> may </w:t>
      </w:r>
      <w:r>
        <w:rPr>
          <w:rFonts w:ascii="Times New Roman;Times;serif" w:hAnsi="Times New Roman;Times;serif"/>
          <w:sz w:val="20"/>
        </w:rPr>
        <w:t>consider the potential mitigating impact of its plans that have </w:t>
      </w:r>
      <w:r>
        <w:rPr>
          <w:rStyle w:val="Emphasis"/>
          <w:rFonts w:ascii="Times New Roman;Times;serif" w:hAnsi="Times New Roman;Times;serif"/>
          <w:sz w:val="20"/>
        </w:rPr>
        <w:t>not</w:t>
      </w:r>
      <w:r>
        <w:rPr>
          <w:rFonts w:ascii="Times New Roman;Times;serif" w:hAnsi="Times New Roman;Times;serif"/>
          <w:sz w:val="20"/>
        </w:rPr>
        <w:t> been fully implemented as of the issuance date if (a) it is probable that management's plans will be effectively implemented on a timely basis, and (b) it is probable that the plans, when implemented, will alleviate the relevant conditions or events that raise substantial doubt about the Company's ability to continue as a going concern within </w:t>
      </w:r>
      <w:r>
        <w:rPr>
          <w:rStyle w:val="Emphasis"/>
          <w:rFonts w:ascii="Times New Roman;Times;serif" w:hAnsi="Times New Roman;Times;serif"/>
          <w:sz w:val="20"/>
        </w:rPr>
        <w:t>one</w:t>
      </w:r>
      <w:r>
        <w:rPr>
          <w:rFonts w:ascii="Times New Roman;Times;serif" w:hAnsi="Times New Roman;Times;serif"/>
          <w:sz w:val="20"/>
        </w:rPr>
        <w:t> year after the issuance date.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With the difficulties in sourcing traffic for the owned and operated digital media properties ("O&amp;O Sites"), the Company shifted its strategic focus toward scaling its Commerce Media Solutions business. Commerce Media Solutions has demonstrated growth and operates under a different economic model that reduces exposure to certain media sourcing risks. However, it continues to represent an evolving component of the Company’s business and the continued success of Commerce Media Solutions depends on the Company’s ability to continue to onboard and retain media partners, achieve favorable economics under long-term agreements, and maintain advertiser demand, of which there can be </w:t>
      </w:r>
      <w:r>
        <w:rPr>
          <w:rStyle w:val="Emphasis"/>
          <w:rFonts w:ascii="Times New Roman;Times;serif" w:hAnsi="Times New Roman;Times;serif"/>
          <w:sz w:val="20"/>
        </w:rPr>
        <w:t>no</w:t>
      </w:r>
      <w:r>
        <w:rPr>
          <w:rFonts w:ascii="Times New Roman;Times;serif" w:hAnsi="Times New Roman;Times;serif"/>
          <w:sz w:val="20"/>
        </w:rPr>
        <w:t xml:space="preserve"> assurance.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Since entering into the Financing Agreement (as defined in and discussed in </w:t>
      </w:r>
      <w:r>
        <w:rPr>
          <w:rStyle w:val="Emphasis"/>
          <w:rFonts w:ascii="Times New Roman" w:hAnsi="Times New Roman"/>
          <w:caps w:val="false"/>
          <w:smallCaps w:val="false"/>
          <w:sz w:val="20"/>
        </w:rPr>
        <w:t>Note 4, </w:t>
      </w:r>
      <w:r>
        <w:rPr>
          <w:rFonts w:ascii="Times New Roman" w:hAnsi="Times New Roman"/>
          <w:i/>
          <w:caps w:val="false"/>
          <w:smallCaps w:val="false"/>
          <w:sz w:val="20"/>
        </w:rPr>
        <w:t>Debt, net</w:t>
      </w:r>
      <w:r>
        <w:rPr>
          <w:rFonts w:ascii="Times New Roman" w:hAnsi="Times New Roman"/>
          <w:caps w:val="false"/>
          <w:smallCaps w:val="false"/>
          <w:sz w:val="20"/>
        </w:rPr>
        <w:t xml:space="preserve">), the Company has continued to receive advances, as needed, on its eligible account receivables. However, the facility remains uncommitted, with the advances typically due within </w:t>
      </w:r>
      <w:r>
        <w:rPr>
          <w:rStyle w:val="Emphasis"/>
          <w:rFonts w:ascii="Times New Roman" w:hAnsi="Times New Roman"/>
          <w:caps w:val="false"/>
          <w:smallCaps w:val="false"/>
          <w:sz w:val="20"/>
        </w:rPr>
        <w:t>120</w:t>
      </w:r>
      <w:r>
        <w:rPr>
          <w:rFonts w:ascii="Times New Roman" w:hAnsi="Times New Roman"/>
          <w:caps w:val="false"/>
          <w:smallCaps w:val="false"/>
          <w:sz w:val="20"/>
        </w:rPr>
        <w:t xml:space="preserve"> days, leading to its classification as short-term. Although Bay View (as defined in Note </w:t>
      </w:r>
      <w:r>
        <w:rPr>
          <w:rStyle w:val="Emphasis"/>
          <w:rFonts w:ascii="Times New Roman" w:hAnsi="Times New Roman"/>
          <w:caps w:val="false"/>
          <w:smallCaps w:val="false"/>
          <w:sz w:val="20"/>
        </w:rPr>
        <w:t>4,</w:t>
      </w:r>
      <w:r>
        <w:rPr>
          <w:rFonts w:ascii="Times New Roman" w:hAnsi="Times New Roman"/>
          <w:caps w:val="false"/>
          <w:smallCaps w:val="false"/>
          <w:sz w:val="20"/>
        </w:rPr>
        <w:t xml:space="preserve"> </w:t>
      </w:r>
      <w:r>
        <w:rPr>
          <w:rFonts w:ascii="Times New Roman" w:hAnsi="Times New Roman"/>
          <w:i/>
          <w:caps w:val="false"/>
          <w:smallCaps w:val="false"/>
          <w:sz w:val="20"/>
        </w:rPr>
        <w:t>Debt, net</w:t>
      </w:r>
      <w:r>
        <w:rPr>
          <w:rFonts w:ascii="Times New Roman" w:hAnsi="Times New Roman"/>
          <w:caps w:val="false"/>
          <w:smallCaps w:val="false"/>
          <w:sz w:val="20"/>
        </w:rPr>
        <w:t>) has indicated in writing its intention, absent an event of default, to continue purchasing eligible receivables in the ordinary course, and has made advances since the facility was entered into, such funding remains subject to the discretion of Bay View and the terms and conditions of the Financing Agreement. If availability under the facility were reduced or if Bay View were to cease advances, the Company could have insufficient funds to support its operations and meet its obligations as they come due unless it found another lender or purchaser of its receivables. Based upon the foregoing, management has concluded that there is substantial doubt about the Company's ability to continue as a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Based on the Company's forecast, management expects to have sufficient liquidity over the next </w:t>
      </w:r>
      <w:r>
        <w:rPr>
          <w:rStyle w:val="Emphasis"/>
          <w:rFonts w:ascii="Times New Roman" w:hAnsi="Times New Roman"/>
          <w:caps w:val="false"/>
          <w:smallCaps w:val="false"/>
          <w:sz w:val="20"/>
        </w:rPr>
        <w:t>twelve</w:t>
      </w:r>
      <w:r>
        <w:rPr>
          <w:rFonts w:ascii="Times New Roman" w:hAnsi="Times New Roman"/>
          <w:caps w:val="false"/>
          <w:smallCaps w:val="false"/>
          <w:sz w:val="20"/>
        </w:rPr>
        <w:t xml:space="preserve"> months from the date of filing, but any substantial deviations from such forecasts could adversely affect the Company’s liquidity and ability to access funding. Although the Company has achieved or overperformed forecasts over the trailing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quarters, it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its forecast, at times, over the prior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years.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addition, the Company is eligible to offer and sell shares of the Company's common stock having an aggregate value of up to $11,200 pursuant to that certain At-the-Market Issuance Sales Agreement dated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by and between the Company and Lake Street Capital Markets, LLC. As of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no shares have been sold. The Company's ability to raise capital under this program or through other financing sources is subject to market conditions and other factors and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be limited or unavailable at acceptable terms, if at all.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Although management believes its current plans will be sufficient and that the Company will maintain access to the Bay View facility, there is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guarantee such plans will be successful or have the expected benefit. As such, management has concluded that there is substantial doubt about the Company's ability to continue as a going concern for one year after the date of issuance of this Quarterly Report on </w:t>
      </w:r>
      <w:r>
        <w:rPr>
          <w:rStyle w:val="Emphasis"/>
          <w:rFonts w:ascii="Times New Roman" w:hAnsi="Times New Roman"/>
          <w:caps w:val="false"/>
          <w:smallCaps w:val="false"/>
          <w:sz w:val="20"/>
        </w:rPr>
        <w:t>Form 10</w:t>
      </w:r>
      <w:r>
        <w:rPr>
          <w:rFonts w:ascii="Times New Roman" w:hAnsi="Times New Roman"/>
          <w:caps w:val="false"/>
          <w:smallCaps w:val="false"/>
          <w:sz w:val="20"/>
        </w:rPr>
        <w:t>-Q.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accompanying consolidated financial statements do </w:t>
      </w:r>
      <w:r>
        <w:rPr>
          <w:rStyle w:val="Emphasis"/>
          <w:rFonts w:ascii="Times New Roman" w:hAnsi="Times New Roman"/>
          <w:caps w:val="false"/>
          <w:smallCaps w:val="false"/>
          <w:sz w:val="20"/>
        </w:rPr>
        <w:t>not</w:t>
      </w:r>
      <w:r>
        <w:rPr>
          <w:rFonts w:ascii="Times New Roman" w:hAnsi="Times New Roman"/>
          <w:caps w:val="false"/>
          <w:smallCaps w:val="false"/>
          <w:sz w:val="20"/>
        </w:rPr>
        <w:t> include any adjustments relating to the possible future effects on the recoverability and classification of recorded assets and classification of liabilities that might result should the Company be unable to continue as a going concern.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Principles of consolidation</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consolidated financial statements include the financial statements of the Company and its subsidiaries. All significant transactions among the Company and its subsidiaries have been eliminated upon consolidation.</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Reclassification</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During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2025, </w:t>
      </w:r>
      <w:r>
        <w:rPr>
          <w:rFonts w:ascii="Times New Roman;Times;serif" w:hAnsi="Times New Roman;Times;serif"/>
          <w:sz w:val="20"/>
        </w:rPr>
        <w:t xml:space="preserve">the Company reclassified certain salaries and benefits and other costs among sales and marketing, product development, and general and administrative expenses within the consolidated statements of operations to better align with how management reviews the business and personnel allocate their time. Certain prior period amounts have been reclassified to conform to the current period presentation. These reclassifications had </w:t>
      </w:r>
      <w:r>
        <w:rPr>
          <w:rStyle w:val="Emphasis"/>
          <w:rFonts w:ascii="Times New Roman;Times;serif" w:hAnsi="Times New Roman;Times;serif"/>
          <w:sz w:val="20"/>
        </w:rPr>
        <w:t>no</w:t>
      </w:r>
      <w:r>
        <w:rPr>
          <w:rFonts w:ascii="Times New Roman;Times;serif" w:hAnsi="Times New Roman;Times;serif"/>
          <w:sz w:val="20"/>
        </w:rPr>
        <w:t xml:space="preserve"> effect on previously reported total costs and expenses, loss from operations, or net loss for any period presented.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(b) Recently issued and adopted accounting standards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sz w:val="20"/>
        </w:rPr>
        <w:t xml:space="preserve">Accounting pronouncements </w:t>
      </w:r>
      <w:r>
        <w:rPr>
          <w:rStyle w:val="Emphasis"/>
          <w:rFonts w:ascii="Times New Roman;Times;serif" w:hAnsi="Times New Roman;Times;serif"/>
          <w:sz w:val="20"/>
        </w:rPr>
        <w:t>not</w:t>
      </w:r>
      <w:r>
        <w:rPr>
          <w:rFonts w:ascii="Times New Roman;Times;serif" w:hAnsi="Times New Roman;Times;serif"/>
          <w:sz w:val="20"/>
        </w:rPr>
        <w:t xml:space="preserve"> listed below were assessed and determined to be </w:t>
      </w:r>
      <w:r>
        <w:rPr>
          <w:rStyle w:val="Emphasis"/>
          <w:rFonts w:ascii="Times New Roman;Times;serif" w:hAnsi="Times New Roman;Times;serif"/>
          <w:sz w:val="20"/>
        </w:rPr>
        <w:t>not</w:t>
      </w:r>
      <w:r>
        <w:rPr>
          <w:rFonts w:ascii="Times New Roman;Times;serif" w:hAnsi="Times New Roman;Times;serif"/>
          <w:sz w:val="20"/>
        </w:rPr>
        <w:t xml:space="preserve"> applicable or are expected to have minimal impact on the Company's consolidated financial statements.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October 2023, </w:t>
      </w:r>
      <w:r>
        <w:rPr>
          <w:rFonts w:ascii="Times New Roman" w:hAnsi="Times New Roman"/>
          <w:caps w:val="false"/>
          <w:smallCaps w:val="false"/>
          <w:sz w:val="20"/>
        </w:rPr>
        <w:t>the Financial Accounting Standards Board ("FASB") issued Accounting Standards Update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w:t>
      </w:r>
      <w:r>
        <w:rPr>
          <w:rFonts w:ascii="Times New Roman" w:hAnsi="Times New Roman"/>
          <w:i/>
          <w:caps w:val="false"/>
          <w:smallCaps w:val="false"/>
          <w:sz w:val="20"/>
        </w:rPr>
        <w:t>Disclosure Improvements: Codification Amendments in Response to the SEC</w:t>
      </w:r>
      <w:r>
        <w:rPr>
          <w:rFonts w:ascii="Times New Roman" w:hAnsi="Times New Roman"/>
          <w:caps w:val="false"/>
          <w:smallCaps w:val="false"/>
          <w:sz w:val="20"/>
        </w:rPr>
        <w:t>’</w:t>
      </w:r>
      <w:r>
        <w:rPr>
          <w:rFonts w:ascii="Times New Roman" w:hAnsi="Times New Roman"/>
          <w:i/>
          <w:caps w:val="false"/>
          <w:smallCaps w:val="false"/>
          <w:sz w:val="20"/>
        </w:rPr>
        <w:t>s Disclosure Update and Simplification Initiatives</w:t>
      </w:r>
      <w:r>
        <w:rPr>
          <w:rFonts w:ascii="Times New Roman" w:hAnsi="Times New Roman"/>
          <w:caps w:val="false"/>
          <w:smallCaps w:val="false"/>
          <w:sz w:val="20"/>
        </w:rPr>
        <w:t xml:space="preserve">, which incorporates updates to the Codification to align with SEC disclosure requirements in response to the </w:t>
      </w:r>
      <w:r>
        <w:rPr>
          <w:rStyle w:val="Emphasis"/>
          <w:rFonts w:ascii="Times New Roman" w:hAnsi="Times New Roman"/>
          <w:caps w:val="false"/>
          <w:smallCaps w:val="false"/>
          <w:sz w:val="20"/>
        </w:rPr>
        <w:t xml:space="preserve">August 2018 </w:t>
      </w:r>
      <w:r>
        <w:rPr>
          <w:rFonts w:ascii="Times New Roman" w:hAnsi="Times New Roman"/>
          <w:caps w:val="false"/>
          <w:smallCaps w:val="false"/>
          <w:sz w:val="20"/>
        </w:rPr>
        <w:t xml:space="preserve">SEC Release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33</w:t>
      </w:r>
      <w:r>
        <w:rPr>
          <w:rFonts w:ascii="Times New Roman" w:hAnsi="Times New Roman"/>
          <w:caps w:val="false"/>
          <w:smallCaps w:val="false"/>
          <w:sz w:val="20"/>
        </w:rPr>
        <w:t>-</w:t>
      </w:r>
      <w:r>
        <w:rPr>
          <w:rStyle w:val="Emphasis"/>
          <w:rFonts w:ascii="Times New Roman" w:hAnsi="Times New Roman"/>
          <w:caps w:val="false"/>
          <w:smallCaps w:val="false"/>
          <w:sz w:val="20"/>
        </w:rPr>
        <w:t>10532.</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2023</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updates and simplifies certain SEC disclosure requirements that were duplicative or outdated due to changes in other SEC requirements and in U.S. GAAP, International Financial Reporting Standards, or the overall financial reporting environment. The new guidance is effective for each amendment only if the SEC removes the related disclosure of presentation requirements from its existing regulations by </w:t>
      </w:r>
      <w:r>
        <w:rPr>
          <w:rStyle w:val="Emphasis"/>
          <w:rFonts w:ascii="Times New Roman" w:hAnsi="Times New Roman"/>
          <w:caps w:val="false"/>
          <w:smallCaps w:val="false"/>
          <w:sz w:val="20"/>
        </w:rPr>
        <w:t xml:space="preserve">June 30, 2027. </w:t>
      </w:r>
      <w:r>
        <w:rPr>
          <w:rFonts w:ascii="Times New Roman" w:hAnsi="Times New Roman"/>
          <w:caps w:val="false"/>
          <w:smallCaps w:val="false"/>
          <w:sz w:val="20"/>
        </w:rPr>
        <w:t>The guidance is to be applied prospectively, with early adoption prohibited. The Company is currently evaluating the impact of adopting this ASU on its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w:t>
      </w:r>
      <w:r>
        <w:rPr>
          <w:rStyle w:val="Emphasis"/>
          <w:rFonts w:ascii="Times New Roman" w:hAnsi="Times New Roman"/>
          <w:caps w:val="false"/>
          <w:smallCaps w:val="false"/>
          <w:sz w:val="20"/>
        </w:rPr>
        <w:t xml:space="preserve"> November 2024,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w:t>
      </w:r>
      <w:r>
        <w:rPr>
          <w:rStyle w:val="Emphasis"/>
          <w:rFonts w:ascii="Times New Roman" w:hAnsi="Times New Roman"/>
          <w:caps w:val="false"/>
          <w:smallCaps w:val="false"/>
          <w:sz w:val="20"/>
        </w:rPr>
        <w:t>2024</w:t>
      </w:r>
      <w:r>
        <w:rPr>
          <w:rFonts w:ascii="Times New Roman" w:hAnsi="Times New Roman"/>
          <w:caps w:val="false"/>
          <w:smallCaps w:val="false"/>
          <w:sz w:val="20"/>
        </w:rPr>
        <w:t>-</w:t>
      </w:r>
      <w:r>
        <w:rPr>
          <w:rStyle w:val="Emphasis"/>
          <w:rFonts w:ascii="Times New Roman" w:hAnsi="Times New Roman"/>
          <w:caps w:val="false"/>
          <w:smallCaps w:val="false"/>
          <w:sz w:val="20"/>
        </w:rPr>
        <w:t>03,</w:t>
      </w:r>
      <w:r>
        <w:rPr>
          <w:rFonts w:ascii="Times New Roman" w:hAnsi="Times New Roman"/>
          <w:caps w:val="false"/>
          <w:smallCaps w:val="false"/>
          <w:sz w:val="20"/>
        </w:rPr>
        <w:t> </w:t>
      </w:r>
      <w:r>
        <w:rPr>
          <w:rFonts w:ascii="Times New Roman" w:hAnsi="Times New Roman"/>
          <w:i/>
          <w:caps w:val="false"/>
          <w:smallCaps w:val="false"/>
          <w:sz w:val="20"/>
        </w:rPr>
        <w:t>Income Statement</w:t>
      </w:r>
      <w:r>
        <w:rPr>
          <w:rFonts w:ascii="Times New Roman" w:hAnsi="Times New Roman"/>
          <w:caps w:val="false"/>
          <w:smallCaps w:val="false"/>
          <w:sz w:val="20"/>
        </w:rPr>
        <w:t>—</w:t>
      </w:r>
      <w:r>
        <w:rPr>
          <w:rFonts w:ascii="Times New Roman" w:hAnsi="Times New Roman"/>
          <w:i/>
          <w:caps w:val="false"/>
          <w:smallCaps w:val="false"/>
          <w:sz w:val="20"/>
        </w:rPr>
        <w:t>Reporting Comprehensive Income</w:t>
      </w:r>
      <w:r>
        <w:rPr>
          <w:rFonts w:ascii="Times New Roman" w:hAnsi="Times New Roman"/>
          <w:caps w:val="false"/>
          <w:smallCaps w:val="false"/>
          <w:sz w:val="20"/>
        </w:rPr>
        <w:t>—</w:t>
      </w:r>
      <w:r>
        <w:rPr>
          <w:rFonts w:ascii="Times New Roman" w:hAnsi="Times New Roman"/>
          <w:i/>
          <w:caps w:val="false"/>
          <w:smallCaps w:val="false"/>
          <w:sz w:val="20"/>
        </w:rPr>
        <w:t>Expense Disaggregation Disclosures (Subtopic</w:t>
      </w:r>
      <w:r>
        <w:rPr>
          <w:rFonts w:ascii="Times New Roman" w:hAnsi="Times New Roman"/>
          <w:caps w:val="false"/>
          <w:smallCaps w:val="false"/>
          <w:sz w:val="20"/>
        </w:rPr>
        <w:t> </w:t>
      </w:r>
      <w:r>
        <w:rPr>
          <w:rStyle w:val="Emphasis"/>
          <w:rFonts w:ascii="Times New Roman" w:hAnsi="Times New Roman"/>
          <w:caps w:val="false"/>
          <w:smallCaps w:val="false"/>
          <w:sz w:val="20"/>
        </w:rPr>
        <w:t>220</w:t>
      </w:r>
      <w:r>
        <w:rPr>
          <w:rFonts w:ascii="Times New Roman" w:hAnsi="Times New Roman"/>
          <w:i/>
          <w:caps w:val="false"/>
          <w:smallCaps w:val="false"/>
          <w:sz w:val="20"/>
        </w:rPr>
        <w:t>-</w:t>
      </w:r>
      <w:r>
        <w:rPr>
          <w:rStyle w:val="Emphasis"/>
          <w:rFonts w:ascii="Times New Roman" w:hAnsi="Times New Roman"/>
          <w:caps w:val="false"/>
          <w:smallCaps w:val="false"/>
          <w:sz w:val="20"/>
        </w:rPr>
        <w:t>40</w:t>
      </w:r>
      <w:r>
        <w:rPr>
          <w:rFonts w:ascii="Times New Roman" w:hAnsi="Times New Roman"/>
          <w:i/>
          <w:caps w:val="false"/>
          <w:smallCaps w:val="false"/>
          <w:sz w:val="20"/>
        </w:rPr>
        <w:t>): Disaggregation of Income Statement Expenses</w:t>
      </w:r>
      <w:r>
        <w:rPr>
          <w:rFonts w:ascii="Times New Roman" w:hAnsi="Times New Roman"/>
          <w:caps w:val="false"/>
          <w:smallCaps w:val="false"/>
          <w:sz w:val="20"/>
        </w:rPr>
        <w:t>, which requires additional disclosures about a public business entity’s costs and expenses on the face of the financial statements. The ASU follows investors' requests for more detailed information and disclosures of disaggregated financial reporting information about the types of expenses in commonly presented expense captions (such as cost of sales, selling, general, and administrative, and research and development), including purchases of inventory, employee compensation, depreciation, amortization, and depletion. The new guidance is effective for fiscal years beginning after </w:t>
      </w:r>
      <w:r>
        <w:rPr>
          <w:rStyle w:val="Emphasis"/>
          <w:rFonts w:ascii="Times New Roman" w:hAnsi="Times New Roman"/>
          <w:caps w:val="false"/>
          <w:smallCaps w:val="false"/>
          <w:sz w:val="20"/>
        </w:rPr>
        <w:t xml:space="preserve"> December 15, 2026 </w:t>
      </w:r>
      <w:r>
        <w:rPr>
          <w:rFonts w:ascii="Times New Roman" w:hAnsi="Times New Roman"/>
          <w:caps w:val="false"/>
          <w:smallCaps w:val="false"/>
          <w:sz w:val="20"/>
        </w:rPr>
        <w:t xml:space="preserve">and interim periods beginning after </w:t>
      </w:r>
      <w:r>
        <w:rPr>
          <w:rStyle w:val="Emphasis"/>
          <w:rFonts w:ascii="Times New Roman" w:hAnsi="Times New Roman"/>
          <w:caps w:val="false"/>
          <w:smallCaps w:val="false"/>
          <w:sz w:val="20"/>
        </w:rPr>
        <w:t>December 15, 2027, </w:t>
      </w:r>
      <w:r>
        <w:rPr>
          <w:rFonts w:ascii="Times New Roman" w:hAnsi="Times New Roman"/>
          <w:caps w:val="false"/>
          <w:smallCaps w:val="false"/>
          <w:sz w:val="20"/>
        </w:rPr>
        <w:t>and early adoption is permitted. The guidance will be applied on a prospective basis to financial statements issued for reporting periods after the effective date, or retrospectively to any and all prior periods presented in the financial statements. The Company is currently evaluating the impact of adopting this ASU on its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w:t>
      </w:r>
      <w:r>
        <w:rPr>
          <w:rFonts w:ascii="Times New Roman" w:hAnsi="Times New Roman"/>
          <w:i/>
          <w:caps w:val="false"/>
          <w:smallCaps w:val="false"/>
          <w:sz w:val="20"/>
        </w:rPr>
        <w:t>Intangibles</w:t>
      </w:r>
      <w:r>
        <w:rPr>
          <w:rFonts w:ascii="Times New Roman" w:hAnsi="Times New Roman"/>
          <w:caps w:val="false"/>
          <w:smallCaps w:val="false"/>
          <w:sz w:val="20"/>
        </w:rPr>
        <w:t> – </w:t>
      </w:r>
      <w:r>
        <w:rPr>
          <w:rFonts w:ascii="Times New Roman" w:hAnsi="Times New Roman"/>
          <w:i/>
          <w:caps w:val="false"/>
          <w:smallCaps w:val="false"/>
          <w:sz w:val="20"/>
        </w:rPr>
        <w:t xml:space="preserve">Goodwill and Other </w:t>
      </w:r>
      <w:r>
        <w:rPr>
          <w:rFonts w:ascii="Times New Roman" w:hAnsi="Times New Roman"/>
          <w:caps w:val="false"/>
          <w:smallCaps w:val="false"/>
          <w:sz w:val="20"/>
        </w:rPr>
        <w:t xml:space="preserve">– </w:t>
      </w:r>
      <w:r>
        <w:rPr>
          <w:rFonts w:ascii="Times New Roman" w:hAnsi="Times New Roman"/>
          <w:i/>
          <w:caps w:val="false"/>
          <w:smallCaps w:val="false"/>
          <w:sz w:val="20"/>
        </w:rPr>
        <w:t>Internal-Use Software</w:t>
      </w:r>
      <w:r>
        <w:rPr>
          <w:rFonts w:ascii="Times New Roman" w:hAnsi="Times New Roman"/>
          <w:caps w:val="false"/>
          <w:smallCaps w:val="false"/>
          <w:sz w:val="20"/>
        </w:rPr>
        <w:t xml:space="preserve">, which amends certain aspects of the accounting for and disclosure of software costs under ASC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350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clarifies and modernizes the accounting for costs related to internal-use software. The amendments in ASU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06</w:t>
      </w:r>
      <w:r>
        <w:rPr>
          <w:rFonts w:ascii="Times New Roman" w:hAnsi="Times New Roman"/>
          <w:caps w:val="false"/>
          <w:smallCaps w:val="false"/>
          <w:sz w:val="20"/>
        </w:rPr>
        <w:t xml:space="preserve"> remove all references to project stages throughout Subtopic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350</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xml:space="preserve"> and clarify the threshold entities apply to begin capitalizing costs. The guidance will be effective for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and interim periods within those fiscal periods. Companies have the option to apply the guidance on a retrospective or prospective basis, and early adoption is permitted. The Company is currently evaluating the impact of adopting this ASU on its consolidated financial statements and disclosures.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 xml:space="preserve">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11,</w:t>
      </w:r>
      <w:r>
        <w:rPr>
          <w:rFonts w:ascii="Times New Roman" w:hAnsi="Times New Roman"/>
          <w:caps w:val="false"/>
          <w:smallCaps w:val="false"/>
          <w:sz w:val="20"/>
        </w:rPr>
        <w:t> </w:t>
      </w:r>
      <w:r>
        <w:rPr>
          <w:rFonts w:ascii="Times New Roman" w:hAnsi="Times New Roman"/>
          <w:i/>
          <w:caps w:val="false"/>
          <w:smallCaps w:val="false"/>
          <w:sz w:val="20"/>
        </w:rPr>
        <w:t xml:space="preserve">Interim Reporting (Topic </w:t>
      </w:r>
      <w:r>
        <w:rPr>
          <w:rStyle w:val="Emphasis"/>
          <w:rFonts w:ascii="Times New Roman" w:hAnsi="Times New Roman"/>
          <w:i/>
          <w:caps w:val="false"/>
          <w:smallCaps w:val="false"/>
          <w:sz w:val="20"/>
        </w:rPr>
        <w:t>270</w:t>
      </w:r>
      <w:r>
        <w:rPr>
          <w:rFonts w:ascii="Times New Roman" w:hAnsi="Times New Roman"/>
          <w:i/>
          <w:caps w:val="false"/>
          <w:smallCaps w:val="false"/>
          <w:sz w:val="20"/>
        </w:rPr>
        <w:t>): Narrow-Scope Improvements</w:t>
      </w:r>
      <w:r>
        <w:rPr>
          <w:rFonts w:ascii="Times New Roman" w:hAnsi="Times New Roman"/>
          <w:caps w:val="false"/>
          <w:smallCaps w:val="false"/>
          <w:sz w:val="20"/>
        </w:rPr>
        <w:t xml:space="preserve">, which clarifies the guidance in Topic </w:t>
      </w:r>
      <w:r>
        <w:rPr>
          <w:rStyle w:val="Emphasis"/>
          <w:rFonts w:ascii="Times New Roman" w:hAnsi="Times New Roman"/>
          <w:caps w:val="false"/>
          <w:smallCaps w:val="false"/>
          <w:sz w:val="20"/>
        </w:rPr>
        <w:t>270</w:t>
      </w:r>
      <w:r>
        <w:rPr>
          <w:rFonts w:ascii="Times New Roman" w:hAnsi="Times New Roman"/>
          <w:caps w:val="false"/>
          <w:smallCaps w:val="false"/>
          <w:sz w:val="20"/>
        </w:rPr>
        <w:t xml:space="preserve"> to improve the consistency of interim financial reporting. The ASU provides a comprehensive list of required interim disclosures and introduces a disclosure principle requiring entities to disclose events from the end of the last annual reporting period that have a material impact on the entity. The guidance is effective for fiscal years beginning after </w:t>
      </w:r>
      <w:r>
        <w:rPr>
          <w:rStyle w:val="Emphasis"/>
          <w:rFonts w:ascii="Times New Roman" w:hAnsi="Times New Roman"/>
          <w:caps w:val="false"/>
          <w:smallCaps w:val="false"/>
          <w:sz w:val="20"/>
        </w:rPr>
        <w:t xml:space="preserve">December 15, 2027, </w:t>
      </w:r>
      <w:r>
        <w:rPr>
          <w:rFonts w:ascii="Times New Roman" w:hAnsi="Times New Roman"/>
          <w:caps w:val="false"/>
          <w:smallCaps w:val="false"/>
          <w:sz w:val="20"/>
        </w:rPr>
        <w:t>including interim periods within those fiscal years, with early adoption permitted. The Company is currently evaluating the impact of adopting this ASU on its consolidated financial statements and disclosures.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w:t>
      </w:r>
      <w:r>
        <w:rPr>
          <w:rStyle w:val="Emphasis"/>
          <w:rFonts w:ascii="Times New Roman" w:hAnsi="Times New Roman"/>
          <w:caps w:val="false"/>
          <w:smallCaps w:val="false"/>
          <w:sz w:val="20"/>
        </w:rPr>
        <w:t xml:space="preserve">December 2025, </w:t>
      </w:r>
      <w:r>
        <w:rPr>
          <w:rFonts w:ascii="Times New Roman" w:hAnsi="Times New Roman"/>
          <w:caps w:val="false"/>
          <w:smallCaps w:val="false"/>
          <w:sz w:val="20"/>
        </w:rPr>
        <w:t>the FASB issued ASU </w:t>
      </w:r>
      <w:r>
        <w:rPr>
          <w:rStyle w:val="Emphasis"/>
          <w:rFonts w:ascii="Times New Roman" w:hAnsi="Times New Roman"/>
          <w:caps w:val="false"/>
          <w:smallCaps w:val="false"/>
          <w:sz w:val="20"/>
        </w:rPr>
        <w:t>2025</w:t>
      </w:r>
      <w:r>
        <w:rPr>
          <w:rFonts w:ascii="Times New Roman" w:hAnsi="Times New Roman"/>
          <w:caps w:val="false"/>
          <w:smallCaps w:val="false"/>
          <w:sz w:val="20"/>
        </w:rPr>
        <w:t>-</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w:t>
      </w:r>
      <w:r>
        <w:rPr>
          <w:rFonts w:ascii="Times New Roman" w:hAnsi="Times New Roman"/>
          <w:i/>
          <w:caps w:val="false"/>
          <w:smallCaps w:val="false"/>
          <w:sz w:val="20"/>
        </w:rPr>
        <w:t>Codification Improvements,</w:t>
      </w:r>
      <w:r>
        <w:rPr>
          <w:rFonts w:ascii="Times New Roman" w:hAnsi="Times New Roman"/>
          <w:caps w:val="false"/>
          <w:smallCaps w:val="false"/>
          <w:sz w:val="20"/>
        </w:rPr>
        <w:t xml:space="preserve"> which makes improvements to the ASC for a broad range of Topics arising from technical corrections, unintended application of the Codification, clarifications, and other minor improvements. This update is effective for annual reporting periods beginning after </w:t>
      </w:r>
      <w:r>
        <w:rPr>
          <w:rStyle w:val="Emphasis"/>
          <w:rFonts w:ascii="Times New Roman" w:hAnsi="Times New Roman"/>
          <w:caps w:val="false"/>
          <w:smallCaps w:val="false"/>
          <w:sz w:val="20"/>
        </w:rPr>
        <w:t xml:space="preserve">December 15, 2026, </w:t>
      </w:r>
      <w:r>
        <w:rPr>
          <w:rFonts w:ascii="Times New Roman" w:hAnsi="Times New Roman"/>
          <w:caps w:val="false"/>
          <w:smallCaps w:val="false"/>
          <w:sz w:val="20"/>
        </w:rPr>
        <w:t>including interim reporting periods within those annual reporting periods. The Company is currently evaluating the impact of adopting this ASU on its consolidated financial statements.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 Revenue recognition</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Data and performance-based marketing revenue</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Revenue is generated when there is a transfer of control of a good or service for a consideration amount the Company is expected to be entitled to. Revenue is recognized when a company has satisfied its performance obligations to a customer and can reasonably expect and measure the payment. The Company's performance obligations are typically to (a) deliver data records based on predefined qualifying characteristics specified by the customer, (b) generate conversions based on predefined user actions (for example, a click, a registration, or the installation of an app) and subject to certain qualifying characteristics specified by the customer, (c) deliver media spend as a part of the business of AdParlor, LLC d/b/a Trevant ("Trevant"), a wholly-owned subsidiary of the Company, and (d)  transfer calls with the Company's advertiser clients as a part of the call center operation, through </w:t>
      </w:r>
      <w:r>
        <w:rPr>
          <w:rStyle w:val="Emphasis"/>
          <w:rFonts w:ascii="Times New Roman;Times;serif" w:hAnsi="Times New Roman;Times;serif"/>
          <w:sz w:val="20"/>
        </w:rPr>
        <w:t>January 31, 2026. </w:t>
      </w:r>
      <w:r>
        <w:rPr>
          <w:rFonts w:ascii="Times New Roman;Times;serif" w:hAnsi="Times New Roman;Times;serif"/>
          <w:sz w:val="20"/>
        </w:rPr>
        <w:t>These Company performance obligations have the customer simultaneously receiving and consuming the benefits provided.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applies the practical expedient related to the review of a portfolio of contracts in reviewing the terms of customer contracts as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collective group, rather than by individual contract. Based on historical performance of the contracts contained in this portfolio and the similar nature and characteristics of the customers, the Company concluded that the financial statement effects are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materially different than accounting for revenue on a contract-by-contract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 has elected the "right to invoice" practical expedient available within ASC </w:t>
      </w:r>
      <w:r>
        <w:rPr>
          <w:rStyle w:val="Emphasis"/>
          <w:rFonts w:ascii="Times New Roman" w:hAnsi="Times New Roman"/>
          <w:caps w:val="false"/>
          <w:smallCaps w:val="false"/>
          <w:sz w:val="20"/>
        </w:rPr>
        <w:t>606</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55</w:t>
      </w:r>
      <w:r>
        <w:rPr>
          <w:rFonts w:ascii="Times New Roman" w:hAnsi="Times New Roman"/>
          <w:caps w:val="false"/>
          <w:smallCaps w:val="false"/>
          <w:sz w:val="20"/>
        </w:rPr>
        <w:t>-</w:t>
      </w:r>
      <w:r>
        <w:rPr>
          <w:rStyle w:val="Emphasis"/>
          <w:rFonts w:ascii="Times New Roman" w:hAnsi="Times New Roman"/>
          <w:caps w:val="false"/>
          <w:smallCaps w:val="false"/>
          <w:sz w:val="20"/>
        </w:rPr>
        <w:t>18</w:t>
      </w:r>
      <w:r>
        <w:rPr>
          <w:rFonts w:ascii="Times New Roman" w:hAnsi="Times New Roman"/>
          <w:caps w:val="false"/>
          <w:smallCaps w:val="false"/>
          <w:sz w:val="20"/>
        </w:rPr>
        <w:t> as the measure for revenue to be recognized, as it corresponds directly with the amount that reflects the consideration the Company expects to be entitled to in exchange for those goods or services. The Company's revenue arrangements do </w:t>
      </w:r>
      <w:r>
        <w:rPr>
          <w:rStyle w:val="Emphasis"/>
          <w:rFonts w:ascii="Times New Roman" w:hAnsi="Times New Roman"/>
          <w:caps w:val="false"/>
          <w:smallCaps w:val="false"/>
          <w:sz w:val="20"/>
        </w:rPr>
        <w:t>not</w:t>
      </w:r>
      <w:r>
        <w:rPr>
          <w:rFonts w:ascii="Times New Roman" w:hAnsi="Times New Roman"/>
          <w:caps w:val="false"/>
          <w:smallCaps w:val="false"/>
          <w:sz w:val="20"/>
        </w:rPr>
        <w:t> contain significant financing components.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and </w:t>
      </w:r>
      <w:r>
        <w:rPr>
          <w:rStyle w:val="Emphasis"/>
          <w:rFonts w:ascii="Times New Roman" w:hAnsi="Times New Roman"/>
          <w:caps w:val="false"/>
          <w:smallCaps w:val="false"/>
          <w:sz w:val="20"/>
        </w:rPr>
        <w:t>2024</w:t>
      </w:r>
      <w:r>
        <w:rPr>
          <w:rFonts w:ascii="Times New Roman" w:hAnsi="Times New Roman"/>
          <w:caps w:val="false"/>
          <w:smallCaps w:val="false"/>
          <w:sz w:val="20"/>
        </w:rPr>
        <w:t>, the balance of accounts receivable was $26,837, $28,499, and $26,131, respectively.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For each identified performance obligation in a contract with a customer, the Company assesses whether it or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supplier is the principal or agent. In arrangements where the Company has substantive control of the specified goods and services, is primarily responsible for the integration of products and services into the final deliverable to the customer, and has inventory risk and discretion in establishing pricing, the Company is considered to have acted as the principal. For performance obligations in which the Company acts as principal, the Company records the gross amount billed to the customer within revenue and the related incremental direct costs incurred as cost of revenue. If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supplier, rather than the Company, is primarily responsible for the performance and deliverable to the customer, and the Company solely arranges for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-party supplier to provide services to the customer, the Company is considered to have acted as the agent. For performance obligations in which the Company acts as the agent, the net fees on such transactions are recorded as revenue, with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associated costs of revenue for the Company.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shd w:fill="FFFFFF" w:val="clear"/>
        </w:rPr>
        <w:t>If a customer pays consideration before the Company's performance obligations are satisfied, such amounts are classified as deferred revenue on the consolidated balance sheets. As of </w:t>
      </w:r>
      <w:r>
        <w:rPr>
          <w:rStyle w:val="Emphasis"/>
          <w:rFonts w:ascii="Times New Roman" w:hAnsi="Times New Roman"/>
          <w:sz w:val="20"/>
          <w:shd w:fill="FFFFFF" w:val="clear"/>
        </w:rPr>
        <w:t xml:space="preserve"> June 30, 2026</w:t>
      </w:r>
      <w:r>
        <w:rPr>
          <w:rFonts w:ascii="Times New Roman" w:hAnsi="Times New Roman"/>
          <w:sz w:val="20"/>
          <w:shd w:fill="FFFFFF" w:val="clear"/>
        </w:rPr>
        <w:t>, </w:t>
      </w:r>
      <w:r>
        <w:rPr>
          <w:rStyle w:val="Emphasis"/>
          <w:rFonts w:ascii="Times New Roman" w:hAnsi="Times New Roman"/>
          <w:sz w:val="20"/>
          <w:shd w:fill="FFFFFF" w:val="clear"/>
        </w:rPr>
        <w:t xml:space="preserve"> December 31, 2025</w:t>
      </w:r>
      <w:r>
        <w:rPr>
          <w:rFonts w:ascii="Times New Roman" w:hAnsi="Times New Roman"/>
          <w:sz w:val="20"/>
          <w:shd w:fill="FFFFFF" w:val="clear"/>
        </w:rPr>
        <w:t xml:space="preserve">, and </w:t>
      </w:r>
      <w:r>
        <w:rPr>
          <w:rStyle w:val="Emphasis"/>
          <w:rFonts w:ascii="Times New Roman" w:hAnsi="Times New Roman"/>
          <w:sz w:val="20"/>
          <w:shd w:fill="FFFFFF" w:val="clear"/>
        </w:rPr>
        <w:t xml:space="preserve">December 31, 2024, </w:t>
      </w:r>
      <w:r>
        <w:rPr>
          <w:rFonts w:ascii="Times New Roman" w:hAnsi="Times New Roman"/>
          <w:sz w:val="20"/>
          <w:shd w:fill="FFFFFF" w:val="clear"/>
        </w:rPr>
        <w:t>the balance of deferred revenue was $120, $721, and $556, respectively. The majority of the deferred revenue balance as of </w:t>
      </w:r>
      <w:r>
        <w:rPr>
          <w:rStyle w:val="Emphasis"/>
          <w:rFonts w:ascii="Times New Roman" w:hAnsi="Times New Roman"/>
          <w:sz w:val="20"/>
          <w:shd w:fill="FFFFFF" w:val="clear"/>
        </w:rPr>
        <w:t xml:space="preserve"> December 31, 2025</w:t>
      </w:r>
      <w:r>
        <w:rPr>
          <w:rFonts w:ascii="Times New Roman" w:hAnsi="Times New Roman"/>
          <w:sz w:val="20"/>
          <w:shd w:fill="FFFFFF" w:val="clear"/>
        </w:rPr>
        <w:t xml:space="preserve"> was recognized as revenue during the </w:t>
      </w:r>
      <w:r>
        <w:rPr>
          <w:rStyle w:val="Emphasis"/>
          <w:rFonts w:ascii="Times New Roman" w:hAnsi="Times New Roman"/>
          <w:sz w:val="20"/>
          <w:shd w:fill="FFFFFF" w:val="clear"/>
        </w:rPr>
        <w:t>first</w:t>
      </w:r>
      <w:r>
        <w:rPr>
          <w:rFonts w:ascii="Times New Roman" w:hAnsi="Times New Roman"/>
          <w:sz w:val="20"/>
          <w:shd w:fill="FFFFFF" w:val="clear"/>
        </w:rPr>
        <w:t> quarter of </w:t>
      </w:r>
      <w:r>
        <w:rPr>
          <w:rStyle w:val="Emphasis"/>
          <w:rFonts w:ascii="Times New Roman" w:hAnsi="Times New Roman"/>
          <w:sz w:val="20"/>
          <w:shd w:fill="FFFFFF" w:val="clear"/>
        </w:rPr>
        <w:t>2026</w:t>
      </w:r>
      <w:r>
        <w:rPr>
          <w:rFonts w:ascii="Times New Roman" w:hAnsi="Times New Roman"/>
          <w:sz w:val="20"/>
          <w:shd w:fill="FFFFFF" w:val="clear"/>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When there is a delay between the period in which revenue is recognized and when a customer invoice is issued, revenue is recognized, and the corresponding amounts are recorded as unbilled revenue within accounts receivable on the consolidated balance sheets. As of </w:t>
      </w:r>
      <w:r>
        <w:rPr>
          <w:rStyle w:val="Emphasis"/>
          <w:rFonts w:ascii="Times New Roman;Times;serif" w:hAnsi="Times New Roman;Times;serif"/>
          <w:sz w:val="20"/>
        </w:rPr>
        <w:t xml:space="preserve"> June 30, 2026</w:t>
      </w:r>
      <w:r>
        <w:rPr>
          <w:rFonts w:ascii="Times New Roman;Times;serif" w:hAnsi="Times New Roman;Times;serif"/>
          <w:sz w:val="20"/>
        </w:rPr>
        <w:t>,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and </w:t>
      </w:r>
      <w:r>
        <w:rPr>
          <w:rStyle w:val="Emphasis"/>
          <w:rFonts w:ascii="Times New Roman;Times;serif" w:hAnsi="Times New Roman;Times;serif"/>
          <w:sz w:val="20"/>
        </w:rPr>
        <w:t xml:space="preserve">December 31, 2024, </w:t>
      </w:r>
      <w:r>
        <w:rPr>
          <w:rFonts w:ascii="Times New Roman;Times;serif" w:hAnsi="Times New Roman;Times;serif"/>
          <w:sz w:val="20"/>
        </w:rPr>
        <w:t xml:space="preserve">unbilled revenue included in the Company's accounts receivable was $12,512, $17,701, and $18,625, respectively. In line with industry practice, the unbilled revenue balance is recorded based on the Company's internally tracked conversions, net of estimated variances between this amount and the amount tracked and subsequently confirmed by customers. Substantially all amounts included within the unbilled revenue balance are invoiced to customers within the month directly following the period of service. Historical estimates related to unbilled revenue have </w:t>
      </w:r>
      <w:r>
        <w:rPr>
          <w:rStyle w:val="Emphasis"/>
          <w:rFonts w:ascii="Times New Roman;Times;serif" w:hAnsi="Times New Roman;Times;serif"/>
          <w:sz w:val="20"/>
        </w:rPr>
        <w:t>not</w:t>
      </w:r>
      <w:r>
        <w:rPr>
          <w:rFonts w:ascii="Times New Roman;Times;serif" w:hAnsi="Times New Roman;Times;serif"/>
          <w:sz w:val="20"/>
        </w:rPr>
        <w:t xml:space="preserve"> differed materially from actual invoiced revenue.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Sales commissions are recorded at the time revenue is recognized and recorded in sales and marketing in the consolidated statements of operations. The Company has elected to utilize a practical expedient to expense incremental costs incurred related to obtaining a contract.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In addition, the Company elected the practical expedient to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disclose the value of unsatisfied performance obligations for (i) contracts with an original expected length of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year or less and (ii) contracts for which revenue is recognized at the amount to which the Company has the right to invoice for services performed.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 Disaggregation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r>
        <w:rPr>
          <w:rFonts w:ascii="Times New Roman" w:hAnsi="Times New Roman"/>
          <w:caps w:val="false"/>
          <w:smallCaps w:val="false"/>
          <w:sz w:val="20"/>
        </w:rPr>
        <w:t xml:space="preserve">The following tables present the Company’s disaggregated revenue by media resources along with its availability and demand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based on segment reporting: </w:t>
      </w:r>
    </w:p>
    <w:p>
      <w:pPr>
        <w:pStyle w:val="TextBody"/>
        <w:bidi w:val="0"/>
        <w:spacing w:before="0" w:after="0"/>
        <w:ind w:left="0" w:right="0" w:hanging="0"/>
        <w:jc w:val="left"/>
        <w:rPr>
          <w:caps w:val="false"/>
          <w:smallCaps w:val="false"/>
        </w:rPr>
      </w:pPr>
      <w:r>
        <w:rPr>
          <w:caps w:val="false"/>
          <w:smallCaps w:val="false"/>
        </w:rPr>
        <w:t> </w:t>
      </w:r>
    </w:p>
    <w:tbl>
      <w:tblPr>
        <w:tblW w:w="8279" w:type="dxa"/>
        <w:jc w:val="left"/>
        <w:tblInd w:w="0" w:type="dxa"/>
        <w:tblLayout w:type="fixed"/>
        <w:tblCellMar>
          <w:top w:w="0" w:type="dxa"/>
          <w:left w:w="0" w:type="dxa"/>
          <w:bottom w:w="0" w:type="dxa"/>
          <w:right w:w="0" w:type="dxa"/>
        </w:tblCellMar>
      </w:tblPr>
      <w:tblGrid>
        <w:gridCol w:w="2285"/>
        <w:gridCol w:w="23"/>
        <w:gridCol w:w="145"/>
        <w:gridCol w:w="684"/>
        <w:gridCol w:w="26"/>
        <w:gridCol w:w="26"/>
        <w:gridCol w:w="167"/>
        <w:gridCol w:w="647"/>
        <w:gridCol w:w="92"/>
        <w:gridCol w:w="26"/>
        <w:gridCol w:w="197"/>
        <w:gridCol w:w="933"/>
        <w:gridCol w:w="80"/>
        <w:gridCol w:w="23"/>
        <w:gridCol w:w="148"/>
        <w:gridCol w:w="702"/>
        <w:gridCol w:w="27"/>
        <w:gridCol w:w="27"/>
        <w:gridCol w:w="166"/>
        <w:gridCol w:w="648"/>
        <w:gridCol w:w="27"/>
        <w:gridCol w:w="27"/>
        <w:gridCol w:w="197"/>
        <w:gridCol w:w="933"/>
        <w:gridCol w:w="23"/>
      </w:tblGrid>
      <w:tr>
        <w:trPr/>
        <w:tc>
          <w:tcPr>
            <w:tcW w:w="22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94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90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23" w:type="dxa"/>
            <w:tcBorders/>
            <w:vAlign w:val="center"/>
          </w:tcPr>
          <w:p>
            <w:pPr>
              <w:pStyle w:val="TableContents"/>
              <w:bidi w:val="0"/>
              <w:spacing w:before="0" w:after="0"/>
              <w:ind w:left="0" w:right="0" w:hanging="0"/>
              <w:jc w:val="left"/>
              <w:rPr/>
            </w:pPr>
            <w:r>
              <w:rPr/>
              <w:t>​</w:t>
            </w:r>
          </w:p>
        </w:tc>
      </w:tr>
      <w:tr>
        <w:trPr/>
        <w:tc>
          <w:tcPr>
            <w:tcW w:w="22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943"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902"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3" w:type="dxa"/>
            <w:tcBorders/>
            <w:vAlign w:val="center"/>
          </w:tcPr>
          <w:p>
            <w:pPr>
              <w:pStyle w:val="TableContents"/>
              <w:bidi w:val="0"/>
              <w:spacing w:before="0" w:after="0"/>
              <w:ind w:left="0" w:right="0" w:hanging="0"/>
              <w:jc w:val="left"/>
              <w:rPr/>
            </w:pPr>
            <w:r>
              <w:rPr/>
              <w:t>​</w:t>
            </w:r>
          </w:p>
        </w:tc>
      </w:tr>
      <w:tr>
        <w:trPr/>
        <w:tc>
          <w:tcPr>
            <w:tcW w:w="22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Fluent</w:t>
            </w:r>
          </w:p>
        </w:tc>
        <w:tc>
          <w:tcPr>
            <w:tcW w:w="26"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All Other</w:t>
            </w:r>
          </w:p>
        </w:tc>
        <w:tc>
          <w:tcPr>
            <w:tcW w:w="92" w:type="dxa"/>
            <w:tcBorders/>
            <w:vAlign w:val="center"/>
          </w:tcPr>
          <w:p>
            <w:pPr>
              <w:pStyle w:val="TableContents"/>
              <w:bidi w:val="0"/>
              <w:spacing w:before="0" w:after="0"/>
              <w:ind w:left="0" w:right="0" w:hanging="0"/>
              <w:jc w:val="left"/>
              <w:rPr/>
            </w:pPr>
            <w:r>
              <w:rPr/>
              <w:t>​</w:t>
            </w:r>
          </w:p>
        </w:tc>
        <w:tc>
          <w:tcPr>
            <w:tcW w:w="26" w:type="dxa"/>
            <w:tcBorders/>
            <w:vAlign w:val="center"/>
          </w:tcPr>
          <w:p>
            <w:pPr>
              <w:pStyle w:val="TableContents"/>
              <w:bidi w:val="0"/>
              <w:spacing w:before="0" w:after="0"/>
              <w:ind w:left="0" w:right="0" w:hanging="0"/>
              <w:jc w:val="left"/>
              <w:rPr/>
            </w:pPr>
            <w:r>
              <w:rPr/>
              <w:t>​</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8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Fluent</w:t>
            </w:r>
          </w:p>
        </w:tc>
        <w:tc>
          <w:tcPr>
            <w:tcW w:w="27" w:type="dxa"/>
            <w:tcBorders/>
            <w:vAlign w:val="center"/>
          </w:tcPr>
          <w:p>
            <w:pPr>
              <w:pStyle w:val="TableContents"/>
              <w:bidi w:val="0"/>
              <w:spacing w:before="0" w:after="0"/>
              <w:ind w:left="0" w:right="0" w:hanging="0"/>
              <w:jc w:val="left"/>
              <w:rPr/>
            </w:pPr>
            <w:r>
              <w:rPr/>
              <w:t>​</w:t>
            </w:r>
          </w:p>
        </w:tc>
        <w:tc>
          <w:tcPr>
            <w:tcW w:w="27" w:type="dxa"/>
            <w:tcBorders/>
            <w:vAlign w:val="center"/>
          </w:tcPr>
          <w:p>
            <w:pPr>
              <w:pStyle w:val="TableContents"/>
              <w:bidi w:val="0"/>
              <w:spacing w:before="0" w:after="0"/>
              <w:ind w:left="0" w:right="0" w:hanging="0"/>
              <w:jc w:val="left"/>
              <w:rPr/>
            </w:pPr>
            <w:r>
              <w:rPr/>
              <w:t>​</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All Other</w:t>
            </w:r>
          </w:p>
        </w:tc>
        <w:tc>
          <w:tcPr>
            <w:tcW w:w="27" w:type="dxa"/>
            <w:tcBorders/>
            <w:vAlign w:val="center"/>
          </w:tcPr>
          <w:p>
            <w:pPr>
              <w:pStyle w:val="TableContents"/>
              <w:bidi w:val="0"/>
              <w:spacing w:before="0" w:after="0"/>
              <w:ind w:left="0" w:right="0" w:hanging="0"/>
              <w:jc w:val="left"/>
              <w:rPr/>
            </w:pPr>
            <w:r>
              <w:rPr/>
              <w:t>​</w:t>
            </w:r>
          </w:p>
        </w:tc>
        <w:tc>
          <w:tcPr>
            <w:tcW w:w="27" w:type="dxa"/>
            <w:tcBorders/>
            <w:vAlign w:val="center"/>
          </w:tcPr>
          <w:p>
            <w:pPr>
              <w:pStyle w:val="TableContents"/>
              <w:bidi w:val="0"/>
              <w:spacing w:before="0" w:after="0"/>
              <w:ind w:left="0" w:right="0" w:hanging="0"/>
              <w:jc w:val="left"/>
              <w:rPr/>
            </w:pPr>
            <w:r>
              <w:rPr/>
              <w:t>​</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w:t>
            </w:r>
          </w:p>
        </w:tc>
        <w:tc>
          <w:tcPr>
            <w:tcW w:w="23" w:type="dxa"/>
            <w:tcBorders/>
            <w:vAlign w:val="center"/>
          </w:tcPr>
          <w:p>
            <w:pPr>
              <w:pStyle w:val="TableContents"/>
              <w:bidi w:val="0"/>
              <w:spacing w:before="0" w:after="0"/>
              <w:ind w:left="0" w:right="0" w:hanging="0"/>
              <w:jc w:val="left"/>
              <w:rPr/>
            </w:pPr>
            <w:r>
              <w:rPr/>
              <w:t>​</w:t>
            </w:r>
          </w:p>
        </w:tc>
      </w:tr>
      <w:tr>
        <w:trPr/>
        <w:tc>
          <w:tcPr>
            <w:tcW w:w="22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left"/>
              <w:rPr/>
            </w:pPr>
            <w:r>
              <w:rPr/>
              <w:t>​</w:t>
            </w:r>
          </w:p>
        </w:tc>
        <w:tc>
          <w:tcPr>
            <w:tcW w:w="92"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lef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lef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 and Operated</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4"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16,300</w:t>
            </w:r>
          </w:p>
        </w:tc>
        <w:tc>
          <w:tcPr>
            <w:tcW w:w="26"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7" w:type="dxa"/>
            <w:tcBorders/>
            <w:shd w:fill="FFFFFF" w:val="clear"/>
            <w:vAlign w:val="center"/>
          </w:tcPr>
          <w:p>
            <w:pPr>
              <w:pStyle w:val="TableContents"/>
              <w:bidi w:val="0"/>
              <w:spacing w:before="0" w:after="0"/>
              <w:ind w:left="0" w:right="0" w:hanging="0"/>
              <w:jc w:val="right"/>
              <w:rPr/>
            </w:pPr>
            <w:r>
              <w:rPr/>
              <w:t>—</w:t>
            </w:r>
          </w:p>
        </w:tc>
        <w:tc>
          <w:tcPr>
            <w:tcW w:w="92"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19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16,300</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21,402</w:t>
            </w:r>
          </w:p>
        </w:tc>
        <w:tc>
          <w:tcPr>
            <w:tcW w:w="27" w:type="dxa"/>
            <w:tcBorders/>
            <w:shd w:fill="FFFFFF" w:val="clear"/>
            <w:vAlign w:val="center"/>
          </w:tcPr>
          <w:p>
            <w:pPr>
              <w:pStyle w:val="TableContents"/>
              <w:bidi w:val="0"/>
              <w:spacing w:before="0" w:after="0"/>
              <w:ind w:left="0" w:right="0" w:hanging="0"/>
              <w:jc w:val="left"/>
              <w:rPr/>
            </w:pPr>
            <w:r>
              <w:rPr/>
              <w:t>​</w:t>
            </w:r>
          </w:p>
        </w:tc>
        <w:tc>
          <w:tcPr>
            <w:tcW w:w="27"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0"/>
              <w:ind w:left="0" w:right="0" w:hanging="0"/>
              <w:jc w:val="right"/>
              <w:rPr/>
            </w:pPr>
            <w:r>
              <w:rPr/>
              <w:t>—</w:t>
            </w:r>
          </w:p>
        </w:tc>
        <w:tc>
          <w:tcPr>
            <w:tcW w:w="27" w:type="dxa"/>
            <w:tcBorders/>
            <w:shd w:fill="FFFFFF" w:val="clear"/>
            <w:vAlign w:val="center"/>
          </w:tcPr>
          <w:p>
            <w:pPr>
              <w:pStyle w:val="TableContents"/>
              <w:bidi w:val="0"/>
              <w:spacing w:before="0" w:after="0"/>
              <w:ind w:left="0" w:right="0" w:hanging="0"/>
              <w:jc w:val="left"/>
              <w:rPr/>
            </w:pPr>
            <w:r>
              <w:rPr/>
              <w:t>​</w:t>
            </w:r>
          </w:p>
        </w:tc>
        <w:tc>
          <w:tcPr>
            <w:tcW w:w="27" w:type="dxa"/>
            <w:tcBorders/>
            <w:shd w:fill="FFFFFF" w:val="clear"/>
            <w:vAlign w:val="center"/>
          </w:tcPr>
          <w:p>
            <w:pPr>
              <w:pStyle w:val="TableContents"/>
              <w:bidi w:val="0"/>
              <w:spacing w:before="0" w:after="0"/>
              <w:ind w:left="0" w:right="0" w:hanging="0"/>
              <w:jc w:val="left"/>
              <w:rPr/>
            </w:pPr>
            <w:r>
              <w:rPr/>
              <w:t>​</w:t>
            </w:r>
          </w:p>
        </w:tc>
        <w:tc>
          <w:tcPr>
            <w:tcW w:w="19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21,402</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Commerce Media Solutions</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30,547</w:t>
            </w:r>
          </w:p>
        </w:tc>
        <w:tc>
          <w:tcPr>
            <w:tcW w:w="26"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pPr>
            <w:r>
              <w:rPr/>
              <w:t>—</w:t>
            </w:r>
          </w:p>
        </w:tc>
        <w:tc>
          <w:tcPr>
            <w:tcW w:w="92"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30,547</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16,080</w:t>
            </w:r>
          </w:p>
        </w:tc>
        <w:tc>
          <w:tcPr>
            <w:tcW w:w="27" w:type="dxa"/>
            <w:tcBorders/>
            <w:shd w:fill="CCEEFF" w:val="clear"/>
            <w:vAlign w:val="center"/>
          </w:tcPr>
          <w:p>
            <w:pPr>
              <w:pStyle w:val="TableContents"/>
              <w:bidi w:val="0"/>
              <w:spacing w:before="0" w:after="0"/>
              <w:ind w:left="0" w:right="0" w:hanging="0"/>
              <w:jc w:val="lef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16,080</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Call Solutions</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shd w:fill="FFFFFF" w:val="clear"/>
            <w:vAlign w:val="center"/>
          </w:tcPr>
          <w:p>
            <w:pPr>
              <w:pStyle w:val="TableContents"/>
              <w:bidi w:val="0"/>
              <w:spacing w:before="0" w:after="0"/>
              <w:ind w:left="0" w:right="0" w:hanging="0"/>
              <w:jc w:val="left"/>
              <w:rPr/>
            </w:pPr>
            <w:r>
              <w:rPr/>
              <w:t>​</w:t>
            </w:r>
          </w:p>
        </w:tc>
        <w:tc>
          <w:tcPr>
            <w:tcW w:w="684" w:type="dxa"/>
            <w:tcBorders/>
            <w:shd w:fill="FFFFFF" w:val="clear"/>
            <w:vAlign w:val="center"/>
          </w:tcPr>
          <w:p>
            <w:pPr>
              <w:pStyle w:val="TableContents"/>
              <w:bidi w:val="0"/>
              <w:spacing w:before="0" w:after="0"/>
              <w:ind w:left="0" w:right="0" w:hanging="0"/>
              <w:jc w:val="righ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167" w:type="dxa"/>
            <w:tcBorders/>
            <w:shd w:fill="FFFFFF" w:val="clear"/>
            <w:vAlign w:val="center"/>
          </w:tcPr>
          <w:p>
            <w:pPr>
              <w:pStyle w:val="TableContents"/>
              <w:bidi w:val="0"/>
              <w:spacing w:before="0" w:after="0"/>
              <w:ind w:left="0" w:right="0" w:hanging="0"/>
              <w:jc w:val="left"/>
              <w:rPr/>
            </w:pPr>
            <w:r>
              <w:rPr/>
              <w:t>​</w:t>
            </w:r>
          </w:p>
        </w:tc>
        <w:tc>
          <w:tcPr>
            <w:tcW w:w="647" w:type="dxa"/>
            <w:tcBorders/>
            <w:shd w:fill="FFFFFF" w:val="clear"/>
            <w:vAlign w:val="center"/>
          </w:tcPr>
          <w:p>
            <w:pPr>
              <w:pStyle w:val="TableContents"/>
              <w:bidi w:val="0"/>
              <w:spacing w:before="0" w:after="0"/>
              <w:ind w:left="0" w:right="0" w:hanging="0"/>
              <w:jc w:val="right"/>
              <w:rPr/>
            </w:pPr>
            <w:r>
              <w:rPr/>
              <w:t>—</w:t>
            </w:r>
          </w:p>
        </w:tc>
        <w:tc>
          <w:tcPr>
            <w:tcW w:w="92"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197" w:type="dxa"/>
            <w:tcBorders/>
            <w:shd w:fill="FFFFFF" w:val="clear"/>
            <w:vAlign w:val="center"/>
          </w:tcPr>
          <w:p>
            <w:pPr>
              <w:pStyle w:val="TableContents"/>
              <w:bidi w:val="0"/>
              <w:spacing w:before="0" w:after="0"/>
              <w:ind w:left="0" w:right="0" w:hanging="0"/>
              <w:jc w:val="left"/>
              <w:rPr/>
            </w:pPr>
            <w:r>
              <w:rPr/>
              <w:t>​</w:t>
            </w:r>
          </w:p>
        </w:tc>
        <w:tc>
          <w:tcPr>
            <w:tcW w:w="93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shd w:fill="FFFFFF" w:val="clear"/>
            <w:vAlign w:val="center"/>
          </w:tcPr>
          <w:p>
            <w:pPr>
              <w:pStyle w:val="TableContents"/>
              <w:bidi w:val="0"/>
              <w:spacing w:before="0" w:after="0"/>
              <w:ind w:left="0" w:right="0" w:hanging="0"/>
              <w:jc w:val="left"/>
              <w:rPr/>
            </w:pPr>
            <w:r>
              <w:rPr/>
              <w:t>​</w:t>
            </w:r>
          </w:p>
        </w:tc>
        <w:tc>
          <w:tcPr>
            <w:tcW w:w="702"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5,630</w:t>
            </w:r>
          </w:p>
        </w:tc>
        <w:tc>
          <w:tcPr>
            <w:tcW w:w="27" w:type="dxa"/>
            <w:tcBorders/>
            <w:shd w:fill="FFFFFF" w:val="clear"/>
            <w:vAlign w:val="center"/>
          </w:tcPr>
          <w:p>
            <w:pPr>
              <w:pStyle w:val="TableContents"/>
              <w:bidi w:val="0"/>
              <w:spacing w:before="0" w:after="0"/>
              <w:ind w:left="0" w:right="0" w:hanging="0"/>
              <w:jc w:val="left"/>
              <w:rPr/>
            </w:pPr>
            <w:r>
              <w:rPr/>
              <w:t>​</w:t>
            </w:r>
          </w:p>
        </w:tc>
        <w:tc>
          <w:tcPr>
            <w:tcW w:w="27"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648" w:type="dxa"/>
            <w:tcBorders/>
            <w:shd w:fill="FFFFFF" w:val="clear"/>
            <w:vAlign w:val="center"/>
          </w:tcPr>
          <w:p>
            <w:pPr>
              <w:pStyle w:val="TableContents"/>
              <w:bidi w:val="0"/>
              <w:spacing w:before="0" w:after="0"/>
              <w:ind w:left="0" w:right="0" w:hanging="0"/>
              <w:jc w:val="right"/>
              <w:rPr/>
            </w:pPr>
            <w:r>
              <w:rPr/>
              <w:t>—</w:t>
            </w:r>
          </w:p>
        </w:tc>
        <w:tc>
          <w:tcPr>
            <w:tcW w:w="27" w:type="dxa"/>
            <w:tcBorders/>
            <w:shd w:fill="FFFFFF" w:val="clear"/>
            <w:vAlign w:val="center"/>
          </w:tcPr>
          <w:p>
            <w:pPr>
              <w:pStyle w:val="TableContents"/>
              <w:bidi w:val="0"/>
              <w:spacing w:before="0" w:after="0"/>
              <w:ind w:left="0" w:right="0" w:hanging="0"/>
              <w:jc w:val="left"/>
              <w:rPr/>
            </w:pPr>
            <w:r>
              <w:rPr/>
              <w:t>​</w:t>
            </w:r>
          </w:p>
        </w:tc>
        <w:tc>
          <w:tcPr>
            <w:tcW w:w="27" w:type="dxa"/>
            <w:tcBorders/>
            <w:shd w:fill="FFFFFF" w:val="clear"/>
            <w:vAlign w:val="center"/>
          </w:tcPr>
          <w:p>
            <w:pPr>
              <w:pStyle w:val="TableContents"/>
              <w:bidi w:val="0"/>
              <w:spacing w:before="0" w:after="0"/>
              <w:ind w:left="0" w:right="0" w:hanging="0"/>
              <w:jc w:val="left"/>
              <w:rPr/>
            </w:pPr>
            <w:r>
              <w:rPr/>
              <w:t>​</w:t>
            </w:r>
          </w:p>
        </w:tc>
        <w:tc>
          <w:tcPr>
            <w:tcW w:w="197" w:type="dxa"/>
            <w:tcBorders/>
            <w:shd w:fill="FFFFFF" w:val="clear"/>
            <w:vAlign w:val="center"/>
          </w:tcPr>
          <w:p>
            <w:pPr>
              <w:pStyle w:val="TableContents"/>
              <w:bidi w:val="0"/>
              <w:spacing w:before="0" w:after="0"/>
              <w:ind w:left="0" w:right="0" w:hanging="0"/>
              <w:jc w:val="left"/>
              <w:rPr/>
            </w:pPr>
            <w:r>
              <w:rPr/>
              <w:t>​</w:t>
            </w:r>
          </w:p>
        </w:tc>
        <w:tc>
          <w:tcPr>
            <w:tcW w:w="9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5,630</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Trevant</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shd w:fill="CCEEFF" w:val="clear"/>
            <w:vAlign w:val="center"/>
          </w:tcPr>
          <w:p>
            <w:pPr>
              <w:pStyle w:val="TableContents"/>
              <w:bidi w:val="0"/>
              <w:spacing w:before="0" w:after="0"/>
              <w:ind w:left="0" w:right="0" w:hanging="0"/>
              <w:jc w:val="left"/>
              <w:rPr/>
            </w:pPr>
            <w:r>
              <w:rPr/>
              <w:t>​</w:t>
            </w:r>
          </w:p>
        </w:tc>
        <w:tc>
          <w:tcPr>
            <w:tcW w:w="684" w:type="dxa"/>
            <w:tcBorders/>
            <w:shd w:fill="CCEEFF" w:val="clear"/>
            <w:vAlign w:val="center"/>
          </w:tcPr>
          <w:p>
            <w:pPr>
              <w:pStyle w:val="TableContents"/>
              <w:bidi w:val="0"/>
              <w:spacing w:before="0" w:after="0"/>
              <w:ind w:left="0" w:right="0" w:hanging="0"/>
              <w:jc w:val="righ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67" w:type="dxa"/>
            <w:tcBorders/>
            <w:shd w:fill="CCEEFF" w:val="clear"/>
            <w:vAlign w:val="center"/>
          </w:tcPr>
          <w:p>
            <w:pPr>
              <w:pStyle w:val="TableContents"/>
              <w:bidi w:val="0"/>
              <w:spacing w:before="0" w:after="0"/>
              <w:ind w:left="0" w:right="0" w:hanging="0"/>
              <w:jc w:val="left"/>
              <w:rPr/>
            </w:pPr>
            <w:r>
              <w:rPr/>
              <w:t>​</w:t>
            </w:r>
          </w:p>
        </w:tc>
        <w:tc>
          <w:tcPr>
            <w:tcW w:w="64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2,004</w:t>
            </w:r>
          </w:p>
        </w:tc>
        <w:tc>
          <w:tcPr>
            <w:tcW w:w="92"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2,004</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shd w:fill="CCEEFF" w:val="clear"/>
            <w:vAlign w:val="center"/>
          </w:tcPr>
          <w:p>
            <w:pPr>
              <w:pStyle w:val="TableContents"/>
              <w:bidi w:val="0"/>
              <w:spacing w:before="0" w:after="0"/>
              <w:ind w:left="0" w:right="0" w:hanging="0"/>
              <w:jc w:val="left"/>
              <w:rPr/>
            </w:pPr>
            <w:r>
              <w:rPr/>
              <w:t>​</w:t>
            </w:r>
          </w:p>
        </w:tc>
        <w:tc>
          <w:tcPr>
            <w:tcW w:w="702" w:type="dxa"/>
            <w:tcBorders/>
            <w:shd w:fill="CCEEFF" w:val="clear"/>
            <w:vAlign w:val="center"/>
          </w:tcPr>
          <w:p>
            <w:pPr>
              <w:pStyle w:val="TableContents"/>
              <w:bidi w:val="0"/>
              <w:spacing w:before="0" w:after="0"/>
              <w:ind w:left="0" w:right="0" w:hanging="0"/>
              <w:jc w:val="righ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1,551</w:t>
            </w:r>
          </w:p>
        </w:tc>
        <w:tc>
          <w:tcPr>
            <w:tcW w:w="27" w:type="dxa"/>
            <w:tcBorders/>
            <w:shd w:fill="CCEEFF" w:val="clear"/>
            <w:vAlign w:val="center"/>
          </w:tcPr>
          <w:p>
            <w:pPr>
              <w:pStyle w:val="TableContents"/>
              <w:bidi w:val="0"/>
              <w:spacing w:before="0" w:after="0"/>
              <w:ind w:left="0" w:right="0" w:hanging="0"/>
              <w:jc w:val="lef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1,551</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w:t>
            </w:r>
            <w:r>
              <w:rPr>
                <w:rFonts w:ascii="Times New Roman" w:hAnsi="Times New Roman"/>
                <w:caps w:val="false"/>
                <w:smallCaps w:val="false"/>
                <w:position w:val="7"/>
                <w:sz w:val="16"/>
                <w:sz w:val="20"/>
              </w:rPr>
              <w:t>(1)</w:t>
            </w:r>
          </w:p>
        </w:tc>
        <w:tc>
          <w:tcPr>
            <w:tcW w:w="23" w:type="dxa"/>
            <w:tcBorders/>
            <w:shd w:fill="FFFFFF" w:val="clear"/>
            <w:vAlign w:val="center"/>
          </w:tcPr>
          <w:p>
            <w:pPr>
              <w:pStyle w:val="TableContents"/>
              <w:bidi w:val="0"/>
              <w:spacing w:before="0" w:after="0"/>
              <w:ind w:left="0" w:right="0" w:hanging="0"/>
              <w:jc w:val="left"/>
              <w:rPr/>
            </w:pPr>
            <w:r>
              <w:rPr/>
              <w:t>​</w:t>
            </w:r>
          </w:p>
        </w:tc>
        <w:tc>
          <w:tcPr>
            <w:tcW w:w="14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8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26" w:type="dxa"/>
            <w:tcBorders/>
            <w:shd w:fill="FFFFFF" w:val="clear"/>
            <w:vAlign w:val="center"/>
          </w:tcPr>
          <w:p>
            <w:pPr>
              <w:pStyle w:val="TableContents"/>
              <w:bidi w:val="0"/>
              <w:spacing w:before="0" w:after="0"/>
              <w:ind w:left="0" w:right="0" w:hanging="0"/>
              <w:jc w:val="left"/>
              <w:rPr/>
            </w:pPr>
            <w:r>
              <w:rPr/>
              <w:t>​</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4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w:t>
            </w:r>
          </w:p>
        </w:tc>
        <w:tc>
          <w:tcPr>
            <w:tcW w:w="9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 w:type="dxa"/>
            <w:tcBorders/>
            <w:shd w:fill="FFFF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4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70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7" w:type="dxa"/>
            <w:tcBorders/>
            <w:shd w:fill="FFFFFF" w:val="clear"/>
            <w:vAlign w:val="center"/>
          </w:tcPr>
          <w:p>
            <w:pPr>
              <w:pStyle w:val="TableContents"/>
              <w:bidi w:val="0"/>
              <w:spacing w:before="0" w:after="0"/>
              <w:ind w:left="0" w:right="0" w:hanging="0"/>
              <w:jc w:val="left"/>
              <w:rPr/>
            </w:pPr>
            <w:r>
              <w:rPr/>
              <w:t>​</w:t>
            </w:r>
          </w:p>
        </w:tc>
        <w:tc>
          <w:tcPr>
            <w:tcW w:w="27"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c>
          <w:tcPr>
            <w:tcW w:w="27" w:type="dxa"/>
            <w:tcBorders/>
            <w:shd w:fill="FFFFFF" w:val="clear"/>
            <w:vAlign w:val="center"/>
          </w:tcPr>
          <w:p>
            <w:pPr>
              <w:pStyle w:val="TableContents"/>
              <w:bidi w:val="0"/>
              <w:spacing w:before="0" w:after="0"/>
              <w:ind w:left="0" w:right="0" w:hanging="0"/>
              <w:jc w:val="left"/>
              <w:rPr/>
            </w:pPr>
            <w:r>
              <w:rPr/>
              <w:t>​</w:t>
            </w:r>
          </w:p>
        </w:tc>
        <w:tc>
          <w:tcPr>
            <w:tcW w:w="27" w:type="dxa"/>
            <w:tcBorders/>
            <w:shd w:fill="FFFF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2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Revenue</w:t>
            </w:r>
          </w:p>
        </w:tc>
        <w:tc>
          <w:tcPr>
            <w:tcW w:w="23" w:type="dxa"/>
            <w:tcBorders/>
            <w:shd w:fill="CCEEFF" w:val="clear"/>
            <w:vAlign w:val="center"/>
          </w:tcPr>
          <w:p>
            <w:pPr>
              <w:pStyle w:val="TableContents"/>
              <w:bidi w:val="0"/>
              <w:spacing w:before="0" w:after="0"/>
              <w:ind w:left="0" w:right="0" w:hanging="0"/>
              <w:jc w:val="left"/>
              <w:rPr/>
            </w:pPr>
            <w:r>
              <w:rPr/>
              <w:t>​</w:t>
            </w:r>
          </w:p>
        </w:tc>
        <w:tc>
          <w:tcPr>
            <w:tcW w:w="14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84"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46,847</w:t>
            </w:r>
          </w:p>
        </w:tc>
        <w:tc>
          <w:tcPr>
            <w:tcW w:w="26"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6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1,602</w:t>
            </w:r>
          </w:p>
        </w:tc>
        <w:tc>
          <w:tcPr>
            <w:tcW w:w="92" w:type="dxa"/>
            <w:tcBorders/>
            <w:shd w:fill="CCEEFF" w:val="clear"/>
            <w:vAlign w:val="center"/>
          </w:tcPr>
          <w:p>
            <w:pPr>
              <w:pStyle w:val="TableContents"/>
              <w:bidi w:val="0"/>
              <w:spacing w:before="0" w:after="0"/>
              <w:ind w:left="0" w:right="0" w:hanging="0"/>
              <w:jc w:val="left"/>
              <w:rPr/>
            </w:pPr>
            <w:r>
              <w:rPr/>
              <w:t>​</w:t>
            </w:r>
          </w:p>
        </w:tc>
        <w:tc>
          <w:tcPr>
            <w:tcW w:w="26"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48,449</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4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70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43,112</w:t>
            </w:r>
          </w:p>
        </w:tc>
        <w:tc>
          <w:tcPr>
            <w:tcW w:w="27" w:type="dxa"/>
            <w:tcBorders/>
            <w:shd w:fill="CCEEFF" w:val="clear"/>
            <w:vAlign w:val="center"/>
          </w:tcPr>
          <w:p>
            <w:pPr>
              <w:pStyle w:val="TableContents"/>
              <w:bidi w:val="0"/>
              <w:spacing w:before="0" w:after="0"/>
              <w:ind w:left="0" w:right="0" w:hanging="0"/>
              <w:jc w:val="lef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1,594</w:t>
            </w:r>
          </w:p>
        </w:tc>
        <w:tc>
          <w:tcPr>
            <w:tcW w:w="27" w:type="dxa"/>
            <w:tcBorders/>
            <w:shd w:fill="CCEEFF" w:val="clear"/>
            <w:vAlign w:val="center"/>
          </w:tcPr>
          <w:p>
            <w:pPr>
              <w:pStyle w:val="TableContents"/>
              <w:bidi w:val="0"/>
              <w:spacing w:before="0" w:after="0"/>
              <w:ind w:left="0" w:right="0" w:hanging="0"/>
              <w:jc w:val="left"/>
              <w:rPr/>
            </w:pPr>
            <w:r>
              <w:rPr/>
              <w:t>​</w:t>
            </w:r>
          </w:p>
        </w:tc>
        <w:tc>
          <w:tcPr>
            <w:tcW w:w="27"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44,706</w:t>
            </w:r>
          </w:p>
        </w:tc>
        <w:tc>
          <w:tcPr>
            <w:tcW w:w="23"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lineRule="auto" w:line="288"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10035"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The balance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 w:hAnsi="Times New Roman"/>
                <w:sz w:val="20"/>
              </w:rPr>
              <w:t xml:space="preserve"> June 30, 2026</w:t>
            </w:r>
            <w:r>
              <w:rPr>
                <w:rFonts w:ascii="Times New Roman" w:hAnsi="Times New Roman"/>
                <w:sz w:val="20"/>
              </w:rPr>
              <w:t> </w:t>
            </w:r>
            <w:r>
              <w:rPr>
                <w:rFonts w:ascii="Times New Roman;Times;serif" w:hAnsi="Times New Roman;Times;serif"/>
                <w:sz w:val="20"/>
              </w:rPr>
              <w:t xml:space="preserve">was due to the reassessment of the health insurance policies estimated lifetime value related to its prior commission revenue, that is in run-off. The balance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2025</w:t>
            </w:r>
            <w:r>
              <w:rPr>
                <w:rFonts w:ascii="Times New Roman;Times;serif" w:hAnsi="Times New Roman;Times;serif"/>
                <w:sz w:val="20"/>
              </w:rPr>
              <w:t> is fully related to commission revenues in run-off.</w:t>
            </w:r>
          </w:p>
        </w:tc>
      </w:tr>
    </w:tbl>
    <w:p>
      <w:pPr>
        <w:pStyle w:val="TextBody"/>
        <w:bidi w:val="0"/>
        <w:spacing w:before="0" w:after="0"/>
        <w:ind w:left="0" w:right="0" w:hanging="0"/>
        <w:jc w:val="left"/>
        <w:rPr/>
      </w:pPr>
      <w:r>
        <w:rPr/>
        <w:t> </w:t>
      </w:r>
    </w:p>
    <w:tbl>
      <w:tblPr>
        <w:tblW w:w="8094" w:type="dxa"/>
        <w:jc w:val="left"/>
        <w:tblInd w:w="0" w:type="dxa"/>
        <w:tblLayout w:type="fixed"/>
        <w:tblCellMar>
          <w:top w:w="0" w:type="dxa"/>
          <w:left w:w="0" w:type="dxa"/>
          <w:bottom w:w="0" w:type="dxa"/>
          <w:right w:w="0" w:type="dxa"/>
        </w:tblCellMar>
      </w:tblPr>
      <w:tblGrid>
        <w:gridCol w:w="2285"/>
        <w:gridCol w:w="23"/>
        <w:gridCol w:w="131"/>
        <w:gridCol w:w="619"/>
        <w:gridCol w:w="24"/>
        <w:gridCol w:w="24"/>
        <w:gridCol w:w="166"/>
        <w:gridCol w:w="648"/>
        <w:gridCol w:w="84"/>
        <w:gridCol w:w="24"/>
        <w:gridCol w:w="197"/>
        <w:gridCol w:w="933"/>
        <w:gridCol w:w="80"/>
        <w:gridCol w:w="23"/>
        <w:gridCol w:w="134"/>
        <w:gridCol w:w="636"/>
        <w:gridCol w:w="24"/>
        <w:gridCol w:w="24"/>
        <w:gridCol w:w="166"/>
        <w:gridCol w:w="648"/>
        <w:gridCol w:w="24"/>
        <w:gridCol w:w="24"/>
        <w:gridCol w:w="197"/>
        <w:gridCol w:w="933"/>
        <w:gridCol w:w="23"/>
      </w:tblGrid>
      <w:tr>
        <w:trPr/>
        <w:tc>
          <w:tcPr>
            <w:tcW w:w="22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5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1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23" w:type="dxa"/>
            <w:tcBorders/>
            <w:vAlign w:val="center"/>
          </w:tcPr>
          <w:p>
            <w:pPr>
              <w:pStyle w:val="TableContents"/>
              <w:bidi w:val="0"/>
              <w:spacing w:before="0" w:after="0"/>
              <w:ind w:left="0" w:right="0" w:hanging="0"/>
              <w:jc w:val="left"/>
              <w:rPr/>
            </w:pPr>
            <w:r>
              <w:rPr/>
              <w:t>​</w:t>
            </w:r>
          </w:p>
        </w:tc>
      </w:tr>
      <w:tr>
        <w:trPr/>
        <w:tc>
          <w:tcPr>
            <w:tcW w:w="22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5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10"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23" w:type="dxa"/>
            <w:tcBorders/>
            <w:vAlign w:val="center"/>
          </w:tcPr>
          <w:p>
            <w:pPr>
              <w:pStyle w:val="TableContents"/>
              <w:bidi w:val="0"/>
              <w:spacing w:before="0" w:after="0"/>
              <w:ind w:left="0" w:right="0" w:hanging="0"/>
              <w:jc w:val="left"/>
              <w:rPr/>
            </w:pPr>
            <w:r>
              <w:rPr/>
              <w:t>​</w:t>
            </w:r>
          </w:p>
        </w:tc>
      </w:tr>
      <w:tr>
        <w:trPr/>
        <w:tc>
          <w:tcPr>
            <w:tcW w:w="228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5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Fluent</w:t>
            </w:r>
          </w:p>
        </w:tc>
        <w:tc>
          <w:tcPr>
            <w:tcW w:w="24"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All Other</w:t>
            </w:r>
          </w:p>
        </w:tc>
        <w:tc>
          <w:tcPr>
            <w:tcW w:w="84"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7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Fluent</w:t>
            </w:r>
          </w:p>
        </w:tc>
        <w:tc>
          <w:tcPr>
            <w:tcW w:w="24"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81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All Other</w:t>
            </w:r>
          </w:p>
        </w:tc>
        <w:tc>
          <w:tcPr>
            <w:tcW w:w="24"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11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Consolidated</w:t>
            </w:r>
          </w:p>
        </w:tc>
        <w:tc>
          <w:tcPr>
            <w:tcW w:w="23" w:type="dxa"/>
            <w:tcBorders/>
            <w:vAlign w:val="center"/>
          </w:tcPr>
          <w:p>
            <w:pPr>
              <w:pStyle w:val="TableContents"/>
              <w:bidi w:val="0"/>
              <w:spacing w:before="0" w:after="0"/>
              <w:ind w:left="0" w:right="0" w:hanging="0"/>
              <w:jc w:val="left"/>
              <w:rPr/>
            </w:pPr>
            <w:r>
              <w:rPr/>
              <w:t>​</w:t>
            </w:r>
          </w:p>
        </w:tc>
      </w:tr>
      <w:tr>
        <w:trPr/>
        <w:tc>
          <w:tcPr>
            <w:tcW w:w="22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tc>
        <w:tc>
          <w:tcPr>
            <w:tcW w:w="23"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left"/>
              <w:rPr/>
            </w:pPr>
            <w:r>
              <w:rPr/>
              <w:t>​</w:t>
            </w:r>
          </w:p>
        </w:tc>
        <w:tc>
          <w:tcPr>
            <w:tcW w:w="8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Owned and Operated</w:t>
            </w:r>
          </w:p>
        </w:tc>
        <w:tc>
          <w:tcPr>
            <w:tcW w:w="23" w:type="dxa"/>
            <w:tcBorders/>
            <w:shd w:fill="FFFFFF" w:val="clear"/>
            <w:vAlign w:val="center"/>
          </w:tcPr>
          <w:p>
            <w:pPr>
              <w:pStyle w:val="TableContents"/>
              <w:bidi w:val="0"/>
              <w:spacing w:before="0" w:after="0"/>
              <w:ind w:left="0" w:right="0" w:hanging="0"/>
              <w:jc w:val="left"/>
              <w:rPr/>
            </w:pPr>
            <w:r>
              <w:rPr/>
              <w:t>​</w:t>
            </w:r>
          </w:p>
        </w:tc>
        <w:tc>
          <w:tcPr>
            <w:tcW w:w="131" w:type="dxa"/>
            <w:tcBorders/>
            <w:shd w:fill="FFFFFF" w:val="clear"/>
            <w:vAlign w:val="center"/>
          </w:tcPr>
          <w:p>
            <w:pPr>
              <w:pStyle w:val="TableContents"/>
              <w:bidi w:val="0"/>
              <w:spacing w:before="0" w:after="0"/>
              <w:ind w:left="0" w:right="0" w:hanging="0"/>
              <w:jc w:val="left"/>
              <w:rPr/>
            </w:pPr>
            <w:r>
              <w:rPr/>
              <w:t>​</w:t>
            </w:r>
          </w:p>
        </w:tc>
        <w:tc>
          <w:tcPr>
            <w:tcW w:w="6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32,047</w:t>
            </w:r>
          </w:p>
        </w:tc>
        <w:tc>
          <w:tcPr>
            <w:tcW w:w="2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0"/>
              <w:ind w:left="0" w:right="0" w:hanging="0"/>
              <w:jc w:val="right"/>
              <w:rPr/>
            </w:pPr>
            <w:r>
              <w:rPr/>
              <w:t>—</w:t>
            </w:r>
          </w:p>
        </w:tc>
        <w:tc>
          <w:tcPr>
            <w:tcW w:w="8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9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32,047</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52,484</w:t>
            </w:r>
          </w:p>
        </w:tc>
        <w:tc>
          <w:tcPr>
            <w:tcW w:w="2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shd w:fill="FFFFFF" w:val="clear"/>
            <w:vAlign w:val="center"/>
          </w:tcPr>
          <w:p>
            <w:pPr>
              <w:pStyle w:val="TableContents"/>
              <w:bidi w:val="0"/>
              <w:spacing w:before="0" w:after="0"/>
              <w:ind w:left="0" w:right="0" w:hanging="0"/>
              <w:jc w:val="righ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9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52,484</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Commerce Media Solutions</w:t>
            </w:r>
          </w:p>
        </w:tc>
        <w:tc>
          <w:tcPr>
            <w:tcW w:w="23"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56,412</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8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56,412</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28,740</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28,740</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Call Solutions</w:t>
            </w:r>
          </w:p>
        </w:tc>
        <w:tc>
          <w:tcPr>
            <w:tcW w:w="23" w:type="dxa"/>
            <w:tcBorders/>
            <w:shd w:fill="FFFFFF" w:val="clear"/>
            <w:vAlign w:val="center"/>
          </w:tcPr>
          <w:p>
            <w:pPr>
              <w:pStyle w:val="TableContents"/>
              <w:bidi w:val="0"/>
              <w:spacing w:before="0" w:after="0"/>
              <w:ind w:left="0" w:right="0" w:hanging="0"/>
              <w:jc w:val="left"/>
              <w:rPr/>
            </w:pPr>
            <w:r>
              <w:rPr/>
              <w:t>​</w:t>
            </w:r>
          </w:p>
        </w:tc>
        <w:tc>
          <w:tcPr>
            <w:tcW w:w="131" w:type="dxa"/>
            <w:tcBorders/>
            <w:shd w:fill="FFFFFF" w:val="clear"/>
            <w:vAlign w:val="center"/>
          </w:tcPr>
          <w:p>
            <w:pPr>
              <w:pStyle w:val="TableContents"/>
              <w:bidi w:val="0"/>
              <w:spacing w:before="0" w:after="0"/>
              <w:ind w:left="0" w:right="0" w:hanging="0"/>
              <w:jc w:val="left"/>
              <w:rPr/>
            </w:pPr>
            <w:r>
              <w:rPr/>
              <w:t>​</w:t>
            </w:r>
          </w:p>
        </w:tc>
        <w:tc>
          <w:tcPr>
            <w:tcW w:w="61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1,213</w:t>
            </w:r>
          </w:p>
        </w:tc>
        <w:tc>
          <w:tcPr>
            <w:tcW w:w="2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648" w:type="dxa"/>
            <w:tcBorders/>
            <w:shd w:fill="FFFFFF" w:val="clear"/>
            <w:vAlign w:val="center"/>
          </w:tcPr>
          <w:p>
            <w:pPr>
              <w:pStyle w:val="TableContents"/>
              <w:bidi w:val="0"/>
              <w:spacing w:before="0" w:after="0"/>
              <w:ind w:left="0" w:right="0" w:hanging="0"/>
              <w:jc w:val="right"/>
              <w:rPr/>
            </w:pPr>
            <w:r>
              <w:rPr/>
              <w:t>—</w:t>
            </w:r>
          </w:p>
        </w:tc>
        <w:tc>
          <w:tcPr>
            <w:tcW w:w="8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97" w:type="dxa"/>
            <w:tcBorders/>
            <w:shd w:fill="FFFFFF" w:val="clear"/>
            <w:vAlign w:val="center"/>
          </w:tcPr>
          <w:p>
            <w:pPr>
              <w:pStyle w:val="TableContents"/>
              <w:bidi w:val="0"/>
              <w:spacing w:before="0" w:after="0"/>
              <w:ind w:left="0" w:right="0" w:hanging="0"/>
              <w:jc w:val="left"/>
              <w:rPr/>
            </w:pPr>
            <w:r>
              <w:rPr/>
              <w:t>​</w:t>
            </w:r>
          </w:p>
        </w:tc>
        <w:tc>
          <w:tcPr>
            <w:tcW w:w="9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1,213</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shd w:fill="FFFFFF" w:val="clear"/>
            <w:vAlign w:val="center"/>
          </w:tcPr>
          <w:p>
            <w:pPr>
              <w:pStyle w:val="TableContents"/>
              <w:bidi w:val="0"/>
              <w:spacing w:before="0" w:after="0"/>
              <w:ind w:left="0" w:right="0" w:hanging="0"/>
              <w:jc w:val="left"/>
              <w:rPr/>
            </w:pPr>
            <w:r>
              <w:rPr/>
              <w:t>​</w:t>
            </w:r>
          </w:p>
        </w:tc>
        <w:tc>
          <w:tcPr>
            <w:tcW w:w="63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15,709</w:t>
            </w:r>
          </w:p>
        </w:tc>
        <w:tc>
          <w:tcPr>
            <w:tcW w:w="2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66" w:type="dxa"/>
            <w:tcBorders/>
            <w:shd w:fill="FFFFFF" w:val="clear"/>
            <w:vAlign w:val="center"/>
          </w:tcPr>
          <w:p>
            <w:pPr>
              <w:pStyle w:val="TableContents"/>
              <w:bidi w:val="0"/>
              <w:spacing w:before="0" w:after="0"/>
              <w:ind w:left="0" w:right="0" w:hanging="0"/>
              <w:jc w:val="left"/>
              <w:rPr/>
            </w:pPr>
            <w:r>
              <w:rPr/>
              <w:t>​</w:t>
            </w:r>
          </w:p>
        </w:tc>
        <w:tc>
          <w:tcPr>
            <w:tcW w:w="648" w:type="dxa"/>
            <w:tcBorders/>
            <w:shd w:fill="FFFFFF" w:val="clear"/>
            <w:vAlign w:val="center"/>
          </w:tcPr>
          <w:p>
            <w:pPr>
              <w:pStyle w:val="TableContents"/>
              <w:bidi w:val="0"/>
              <w:spacing w:before="0" w:after="0"/>
              <w:ind w:left="0" w:right="0" w:hanging="0"/>
              <w:jc w:val="righ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97" w:type="dxa"/>
            <w:tcBorders/>
            <w:shd w:fill="FFFFFF" w:val="clear"/>
            <w:vAlign w:val="center"/>
          </w:tcPr>
          <w:p>
            <w:pPr>
              <w:pStyle w:val="TableContents"/>
              <w:bidi w:val="0"/>
              <w:spacing w:before="0" w:after="0"/>
              <w:ind w:left="0" w:right="0" w:hanging="0"/>
              <w:jc w:val="left"/>
              <w:rPr/>
            </w:pPr>
            <w:r>
              <w:rPr/>
              <w:t>​</w:t>
            </w:r>
          </w:p>
        </w:tc>
        <w:tc>
          <w:tcPr>
            <w:tcW w:w="9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15,709</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2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Trevant</w:t>
            </w:r>
          </w:p>
        </w:tc>
        <w:tc>
          <w:tcPr>
            <w:tcW w:w="23" w:type="dxa"/>
            <w:tcBorders/>
            <w:shd w:fill="CCEEFF" w:val="clear"/>
            <w:vAlign w:val="center"/>
          </w:tcPr>
          <w:p>
            <w:pPr>
              <w:pStyle w:val="TableContents"/>
              <w:bidi w:val="0"/>
              <w:spacing w:before="0" w:after="0"/>
              <w:ind w:left="0" w:right="0" w:hanging="0"/>
              <w:jc w:val="left"/>
              <w:rPr/>
            </w:pPr>
            <w:r>
              <w:rPr/>
              <w:t>​</w:t>
            </w:r>
          </w:p>
        </w:tc>
        <w:tc>
          <w:tcPr>
            <w:tcW w:w="131" w:type="dxa"/>
            <w:tcBorders/>
            <w:shd w:fill="CCEEFF" w:val="clear"/>
            <w:vAlign w:val="center"/>
          </w:tcPr>
          <w:p>
            <w:pPr>
              <w:pStyle w:val="TableContents"/>
              <w:bidi w:val="0"/>
              <w:spacing w:before="0" w:after="0"/>
              <w:ind w:left="0" w:right="0" w:hanging="0"/>
              <w:jc w:val="left"/>
              <w:rPr/>
            </w:pPr>
            <w:r>
              <w:rPr/>
              <w:t>​</w:t>
            </w:r>
          </w:p>
        </w:tc>
        <w:tc>
          <w:tcPr>
            <w:tcW w:w="619" w:type="dxa"/>
            <w:tcBorders/>
            <w:shd w:fill="CCEEFF" w:val="clear"/>
            <w:vAlign w:val="center"/>
          </w:tcPr>
          <w:p>
            <w:pPr>
              <w:pStyle w:val="TableContents"/>
              <w:bidi w:val="0"/>
              <w:spacing w:before="0" w:after="0"/>
              <w:ind w:left="0" w:right="0" w:hanging="0"/>
              <w:jc w:val="righ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4,031</w:t>
            </w:r>
          </w:p>
        </w:tc>
        <w:tc>
          <w:tcPr>
            <w:tcW w:w="8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4,031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shd w:fill="CCEEFF" w:val="clear"/>
            <w:vAlign w:val="center"/>
          </w:tcPr>
          <w:p>
            <w:pPr>
              <w:pStyle w:val="TableContents"/>
              <w:bidi w:val="0"/>
              <w:spacing w:before="0" w:after="0"/>
              <w:ind w:left="0" w:right="0" w:hanging="0"/>
              <w:jc w:val="left"/>
              <w:rPr/>
            </w:pPr>
            <w:r>
              <w:rPr/>
              <w:t>​</w:t>
            </w:r>
          </w:p>
        </w:tc>
        <w:tc>
          <w:tcPr>
            <w:tcW w:w="636" w:type="dxa"/>
            <w:tcBorders/>
            <w:shd w:fill="CCEEFF" w:val="clear"/>
            <w:vAlign w:val="center"/>
          </w:tcPr>
          <w:p>
            <w:pPr>
              <w:pStyle w:val="TableContents"/>
              <w:bidi w:val="0"/>
              <w:spacing w:before="0" w:after="283"/>
              <w:ind w:left="0" w:right="0" w:hanging="0"/>
              <w:jc w:val="left"/>
              <w:rPr>
                <w:sz w:val="4"/>
                <w:szCs w:val="4"/>
              </w:rPr>
            </w:pPr>
            <w:r>
              <w:rPr>
                <w:sz w:val="4"/>
                <w:szCs w:val="4"/>
              </w:rPr>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66" w:type="dxa"/>
            <w:tcBorders/>
            <w:shd w:fill="CCEEFF" w:val="clear"/>
            <w:vAlign w:val="center"/>
          </w:tcPr>
          <w:p>
            <w:pPr>
              <w:pStyle w:val="TableContents"/>
              <w:bidi w:val="0"/>
              <w:spacing w:before="0" w:after="0"/>
              <w:ind w:left="0" w:right="0" w:hanging="0"/>
              <w:jc w:val="left"/>
              <w:rPr/>
            </w:pPr>
            <w:r>
              <w:rPr/>
              <w:t>​</w:t>
            </w:r>
          </w:p>
        </w:tc>
        <w:tc>
          <w:tcPr>
            <w:tcW w:w="64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2,948</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7" w:type="dxa"/>
            <w:tcBorders/>
            <w:shd w:fill="CCEEFF" w:val="clear"/>
            <w:vAlign w:val="center"/>
          </w:tcPr>
          <w:p>
            <w:pPr>
              <w:pStyle w:val="TableContents"/>
              <w:bidi w:val="0"/>
              <w:spacing w:before="0" w:after="0"/>
              <w:ind w:left="0" w:right="0" w:hanging="0"/>
              <w:jc w:val="left"/>
              <w:rPr/>
            </w:pPr>
            <w:r>
              <w:rPr/>
              <w:t>​</w:t>
            </w:r>
          </w:p>
        </w:tc>
        <w:tc>
          <w:tcPr>
            <w:tcW w:w="9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2,948</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2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All Other</w:t>
            </w:r>
            <w:r>
              <w:rPr>
                <w:rFonts w:ascii="Times New Roman" w:hAnsi="Times New Roman"/>
                <w:caps w:val="false"/>
                <w:smallCaps w:val="false"/>
                <w:position w:val="7"/>
                <w:sz w:val="16"/>
                <w:sz w:val="20"/>
              </w:rPr>
              <w:t>(1)</w:t>
            </w:r>
          </w:p>
        </w:tc>
        <w:tc>
          <w:tcPr>
            <w:tcW w:w="23" w:type="dxa"/>
            <w:tcBorders/>
            <w:shd w:fill="FFFFFF" w:val="clear"/>
            <w:vAlign w:val="center"/>
          </w:tcPr>
          <w:p>
            <w:pPr>
              <w:pStyle w:val="TableContents"/>
              <w:bidi w:val="0"/>
              <w:spacing w:before="0" w:after="0"/>
              <w:ind w:left="0" w:right="0" w:hanging="0"/>
              <w:jc w:val="left"/>
              <w:rPr/>
            </w:pPr>
            <w:r>
              <w:rPr/>
              <w:t>​</w:t>
            </w:r>
          </w:p>
        </w:tc>
        <w:tc>
          <w:tcPr>
            <w:tcW w:w="13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1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w:t>
            </w:r>
          </w:p>
        </w:tc>
        <w:tc>
          <w:tcPr>
            <w:tcW w:w="84"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4" w:type="dxa"/>
            <w:tcBorders/>
            <w:shd w:fill="FFFF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3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6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64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c>
          <w:tcPr>
            <w:tcW w:w="24"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19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9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2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Revenue</w:t>
            </w:r>
          </w:p>
        </w:tc>
        <w:tc>
          <w:tcPr>
            <w:tcW w:w="23" w:type="dxa"/>
            <w:tcBorders/>
            <w:shd w:fill="CCEEFF" w:val="clear"/>
            <w:vAlign w:val="center"/>
          </w:tcPr>
          <w:p>
            <w:pPr>
              <w:pStyle w:val="TableContents"/>
              <w:bidi w:val="0"/>
              <w:spacing w:before="0" w:after="0"/>
              <w:ind w:left="0" w:right="0" w:hanging="0"/>
              <w:jc w:val="left"/>
              <w:rPr/>
            </w:pPr>
            <w:r>
              <w:rPr/>
              <w:t>​</w:t>
            </w:r>
          </w:p>
        </w:tc>
        <w:tc>
          <w:tcPr>
            <w:tcW w:w="13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1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89,672</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3,629</w:t>
            </w:r>
          </w:p>
        </w:tc>
        <w:tc>
          <w:tcPr>
            <w:tcW w:w="8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93,301</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34"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3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96,933</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66"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4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2,983</w:t>
            </w:r>
          </w:p>
        </w:tc>
        <w:tc>
          <w:tcPr>
            <w:tcW w:w="24"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197"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3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99,916</w:t>
            </w:r>
          </w:p>
        </w:tc>
        <w:tc>
          <w:tcPr>
            <w:tcW w:w="23" w:type="dxa"/>
            <w:tcBorders/>
            <w:shd w:fill="CCEEFF" w:val="clear"/>
            <w:vAlign w:val="center"/>
          </w:tcPr>
          <w:p>
            <w:pPr>
              <w:pStyle w:val="TableContents"/>
              <w:bidi w:val="0"/>
              <w:spacing w:before="0" w:after="0"/>
              <w:ind w:left="0" w:right="0" w:hanging="0"/>
              <w:jc w:val="left"/>
              <w:rPr/>
            </w:pPr>
            <w:r>
              <w:rPr/>
              <w:t>​</w:t>
            </w:r>
          </w:p>
        </w:tc>
      </w:tr>
    </w:tbl>
    <w:tbl>
      <w:tblPr>
        <w:tblW w:w="10205" w:type="dxa"/>
        <w:jc w:val="left"/>
        <w:tblInd w:w="0" w:type="dxa"/>
        <w:tblLayout w:type="fixed"/>
        <w:tblCellMar>
          <w:top w:w="0" w:type="dxa"/>
          <w:left w:w="0" w:type="dxa"/>
          <w:bottom w:w="0" w:type="dxa"/>
          <w:right w:w="0" w:type="dxa"/>
        </w:tblCellMar>
      </w:tblPr>
      <w:tblGrid>
        <w:gridCol w:w="171"/>
        <w:gridCol w:w="10034"/>
      </w:tblGrid>
      <w:tr>
        <w:trPr/>
        <w:tc>
          <w:tcPr>
            <w:tcW w:w="171" w:type="dxa"/>
            <w:tcBorders/>
            <w:vAlign w:val="center"/>
          </w:tcPr>
          <w:p>
            <w:pPr>
              <w:pStyle w:val="TableContents"/>
              <w:bidi w:val="0"/>
              <w:spacing w:lineRule="auto" w:line="288"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10034" w:type="dxa"/>
            <w:tcBorders/>
            <w:vAlign w:val="center"/>
          </w:tcPr>
          <w:p>
            <w:pPr>
              <w:pStyle w:val="TableContents"/>
              <w:bidi w:val="0"/>
              <w:spacing w:before="0" w:after="283"/>
              <w:jc w:val="left"/>
              <w:rPr/>
            </w:pPr>
            <w:r>
              <w:rPr>
                <w:rFonts w:ascii="Times New Roman;Times;serif" w:hAnsi="Times New Roman;Times;serif"/>
                <w:sz w:val="20"/>
              </w:rPr>
              <w:t xml:space="preserve">The balance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w:t>
            </w:r>
            <w:r>
              <w:rPr>
                <w:rFonts w:ascii="Times New Roman;Times;serif" w:hAnsi="Times New Roman;Times;serif"/>
                <w:sz w:val="20"/>
              </w:rPr>
              <w:t> was due to the reassessment of the health insurance policies estimated lifetime value related to its prior commission revenue, that is in run-off. The balance for the </w:t>
            </w:r>
            <w:r>
              <w:rPr>
                <w:rStyle w:val="Emphasis"/>
                <w:rFonts w:ascii="Times New Roman;Times;serif" w:hAnsi="Times New Roman;Times;serif"/>
                <w:sz w:val="20"/>
              </w:rPr>
              <w:t>six</w:t>
            </w:r>
            <w:r>
              <w:rPr/>
              <w:t xml:space="preserve"> </w:t>
            </w:r>
            <w:r>
              <w:rPr>
                <w:rFonts w:ascii="Times New Roman;Times;serif" w:hAnsi="Times New Roman;Times;serif"/>
                <w:sz w:val="20"/>
              </w:rPr>
              <w:t>months ended </w:t>
            </w:r>
            <w:r>
              <w:rPr>
                <w:rStyle w:val="Emphasis"/>
                <w:rFonts w:ascii="Times New Roman;Times;serif" w:hAnsi="Times New Roman;Times;serif"/>
                <w:sz w:val="20"/>
              </w:rPr>
              <w:t xml:space="preserve"> June 30, 2025</w:t>
            </w:r>
            <w:r>
              <w:rPr>
                <w:rFonts w:ascii="Times New Roman;Times;serif" w:hAnsi="Times New Roman;Times;serif"/>
                <w:sz w:val="20"/>
              </w:rPr>
              <w:t> is fully related to commission revenues in run-off.</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Owned and Operated and Commerce Media Solutions in the tables above represent the Company’s remaining data and performance-based marketing revenue. Prior to its divestiture, Call Solutions also consisted of performance-based marketing revenue (refer to Note </w:t>
      </w:r>
      <w:r>
        <w:rPr>
          <w:rStyle w:val="Emphasis"/>
          <w:rFonts w:ascii="Times New Roman;Times;serif" w:hAnsi="Times New Roman;Times;serif"/>
          <w:sz w:val="20"/>
        </w:rPr>
        <w:t>12,</w:t>
      </w:r>
      <w:r>
        <w:rPr>
          <w:rFonts w:ascii="Times New Roman;Times;serif" w:hAnsi="Times New Roman;Times;serif"/>
          <w:sz w:val="20"/>
        </w:rPr>
        <w:t xml:space="preserve"> </w:t>
      </w:r>
      <w:r>
        <w:rPr>
          <w:rFonts w:ascii="Times New Roman;Times;serif" w:hAnsi="Times New Roman;Times;serif"/>
          <w:i/>
          <w:sz w:val="20"/>
        </w:rPr>
        <w:t>Divestiture</w:t>
      </w:r>
      <w:r>
        <w:rPr>
          <w:rFonts w:ascii="Times New Roman;Times;serif" w:hAnsi="Times New Roman;Times;serif"/>
          <w:sz w:val="20"/>
        </w:rPr>
        <w:t xml:space="preserve"> for details).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Seasonality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Company's performance is subject to fluctuations related to seasonality and cyclicality in our clients' and media partners' businesses. Other factors affecting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include macroeconomic conditions that impact the digital advertising industry, the various client and partner verticals served, and general market conditions.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 Use of estimates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preparation of consolidated financial statements in accordance with U.S. GAAP requires the Company’s management to make estimates and assumptions relating to the reported amounts of assets and liabilities, the disclosure of contingent assets and liabilities at the date of the consolidated financial statements, and the reported amounts of revenue and expenses during the reporting periods. Significant items subject to such estimates and assumptions include the allowance for credit losses, useful lives of intangible assets, recoverability of the carrying amounts of intangible assets, the portion of revenue subject to estimates for variances between internally-tracked conversions and those confirmed by the customer, consolidation of VIE, fair value of Convertible Notes (as defined in Note </w:t>
      </w:r>
      <w:r>
        <w:rPr>
          <w:rStyle w:val="Emphasis"/>
          <w:rFonts w:ascii="Times New Roman;Times;serif" w:hAnsi="Times New Roman;Times;serif"/>
          <w:sz w:val="20"/>
        </w:rPr>
        <w:t>4</w:t>
      </w:r>
      <w:r>
        <w:rPr>
          <w:rFonts w:ascii="Times New Roman;Times;serif" w:hAnsi="Times New Roman;Times;serif"/>
          <w:sz w:val="20"/>
        </w:rPr>
        <w:t xml:space="preserve">, </w:t>
      </w:r>
      <w:r>
        <w:rPr>
          <w:rFonts w:ascii="Times New Roman;Times;serif" w:hAnsi="Times New Roman;Times;serif"/>
          <w:i/>
          <w:sz w:val="20"/>
        </w:rPr>
        <w:t>Debt, net</w:t>
      </w:r>
      <w:r>
        <w:rPr>
          <w:rFonts w:ascii="Times New Roman;Times;serif" w:hAnsi="Times New Roman;Times;serif"/>
          <w:sz w:val="20"/>
        </w:rPr>
        <w:t>) with related parties based on input assumptions, share-based compensation and income tax provision. These estimates are often based on complex judgments and assumptions that management believes to be reasonable but are inherently uncertain and unpredictable. Actual results could differ from these estimates.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(e) Note receivable and allowance for credit losses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In connection with the divestiture on </w:t>
      </w:r>
      <w:r>
        <w:rPr>
          <w:rStyle w:val="Emphasis"/>
          <w:rFonts w:ascii="Times New Roman;Times;serif" w:hAnsi="Times New Roman;Times;serif"/>
          <w:sz w:val="20"/>
        </w:rPr>
        <w:t xml:space="preserve">January 31, 2026, </w:t>
      </w:r>
      <w:r>
        <w:rPr>
          <w:rFonts w:ascii="Times New Roman;Times;serif" w:hAnsi="Times New Roman;Times;serif"/>
          <w:sz w:val="20"/>
        </w:rPr>
        <w:t xml:space="preserve">the Company received a note ("Note") that is a collateral-dependent financial asset valued at amortized cost (as defined in Note </w:t>
      </w:r>
      <w:r>
        <w:rPr>
          <w:rStyle w:val="Emphasis"/>
          <w:rFonts w:ascii="Times New Roman;Times;serif" w:hAnsi="Times New Roman;Times;serif"/>
          <w:sz w:val="20"/>
        </w:rPr>
        <w:t>12,</w:t>
      </w:r>
      <w:r>
        <w:rPr>
          <w:rFonts w:ascii="Times New Roman;Times;serif" w:hAnsi="Times New Roman;Times;serif"/>
          <w:sz w:val="20"/>
        </w:rPr>
        <w:t xml:space="preserve"> </w:t>
      </w:r>
      <w:r>
        <w:rPr>
          <w:rFonts w:ascii="Times New Roman;Times;serif" w:hAnsi="Times New Roman;Times;serif"/>
          <w:i/>
          <w:sz w:val="20"/>
        </w:rPr>
        <w:t>Divestiture</w:t>
      </w:r>
      <w:r>
        <w:rPr>
          <w:rFonts w:ascii="Times New Roman;Times;serif" w:hAnsi="Times New Roman;Times;serif"/>
          <w:sz w:val="20"/>
        </w:rPr>
        <w:t xml:space="preserve">). The Company then evaluated the Note for expected credit losses and concluded an allowance of $427 was required, which was recorded in prepaid expenses and other current assets. The allowance was estimated using a probability of default and loss given default methodology, which incorporated a borrower-specific credit assessment and the estimated fair value of the underlying collateral, adjusted for the Company's subordinated position. Management also considered current and forecasted macroeconomic conditions in evaluating whether additional adjustments to the allowance were necessary.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(f) Fair value</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Fair value is defined as the exchange price that would be received for an asset or paid to transfer a liability (an exit price) in the principal or most advantageous market for the asset or liability in an orderly transaction between market participants on the measurement date.</w:t>
        <w:br/>
        <w:t> </w:t>
      </w:r>
    </w:p>
    <w:p>
      <w:pPr>
        <w:pStyle w:val="TextBody"/>
        <w:bidi w:val="0"/>
        <w:spacing w:before="0" w:after="0"/>
        <w:ind w:left="0" w:right="0" w:hanging="0"/>
        <w:jc w:val="both"/>
        <w:rPr/>
      </w:pPr>
      <w:r>
        <w:rPr>
          <w:rFonts w:ascii="Times New Roman" w:hAnsi="Times New Roman"/>
          <w:caps w:val="false"/>
          <w:smallCaps w:val="false"/>
          <w:sz w:val="20"/>
        </w:rPr>
        <w:t xml:space="preserve">Valuation techniques used to measure fair value must maximize the use of observable inputs and minimize the use of unobservable inputs. ASC </w:t>
      </w:r>
      <w:r>
        <w:rPr>
          <w:rStyle w:val="Emphasis"/>
          <w:rFonts w:ascii="Times New Roman" w:hAnsi="Times New Roman"/>
          <w:caps w:val="false"/>
          <w:smallCaps w:val="false"/>
          <w:sz w:val="20"/>
        </w:rPr>
        <w:t>820,</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Fair Value Measurements and Disclosure </w:t>
      </w:r>
      <w:r>
        <w:rPr>
          <w:rFonts w:ascii="Times New Roman" w:hAnsi="Times New Roman"/>
          <w:caps w:val="false"/>
          <w:smallCaps w:val="false"/>
          <w:sz w:val="20"/>
        </w:rPr>
        <w:t xml:space="preserve">describes a fair value hierarchy based on the following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levels of inputs, of which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two</w:t>
      </w:r>
      <w:r>
        <w:rPr>
          <w:rFonts w:ascii="Times New Roman" w:hAnsi="Times New Roman"/>
          <w:caps w:val="false"/>
          <w:smallCaps w:val="false"/>
          <w:sz w:val="20"/>
        </w:rPr>
        <w:t xml:space="preserve"> are considered observable and the last unobservable, that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be used to measure fair value:</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0"/>
              <w:ind w:left="0" w:right="0" w:hanging="0"/>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Level </w:t>
            </w:r>
            <w:r>
              <w:rPr>
                <w:rStyle w:val="Emphasis"/>
                <w:rFonts w:ascii="Times New Roman;Times;serif" w:hAnsi="Times New Roman;Times;serif"/>
                <w:caps w:val="false"/>
                <w:smallCaps w:val="false"/>
                <w:sz w:val="20"/>
              </w:rPr>
              <w:t>1</w:t>
            </w:r>
            <w:r>
              <w:rPr>
                <w:rFonts w:ascii="Times New Roman;Times;serif" w:hAnsi="Times New Roman;Times;serif"/>
                <w:caps w:val="false"/>
                <w:smallCaps w:val="false"/>
                <w:sz w:val="20"/>
              </w:rPr>
              <w:t xml:space="preserve"> — defined as observable inputs, such as quoted prices in active markets;</w:t>
            </w:r>
          </w:p>
        </w:tc>
      </w:tr>
      <w:tr>
        <w:trPr/>
        <w:tc>
          <w:tcPr>
            <w:tcW w:w="60" w:type="dxa"/>
            <w:tcBorders/>
            <w:vAlign w:val="center"/>
          </w:tcPr>
          <w:p>
            <w:pPr>
              <w:pStyle w:val="TableContents"/>
              <w:bidi w:val="0"/>
              <w:spacing w:before="0" w:after="0"/>
              <w:ind w:left="0" w:right="0" w:hanging="0"/>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caps w:val="false"/>
                <w:smallCaps w:val="false"/>
                <w:sz w:val="20"/>
              </w:rPr>
              <w:t>Level </w:t>
            </w:r>
            <w:r>
              <w:rPr>
                <w:rStyle w:val="Emphasis"/>
                <w:rFonts w:ascii="Times New Roman;Times;serif" w:hAnsi="Times New Roman;Times;serif"/>
                <w:caps w:val="false"/>
                <w:smallCaps w:val="false"/>
                <w:sz w:val="20"/>
              </w:rPr>
              <w:t>2</w:t>
            </w:r>
            <w:r>
              <w:rPr>
                <w:rFonts w:ascii="Times New Roman;Times;serif" w:hAnsi="Times New Roman;Times;serif"/>
                <w:caps w:val="false"/>
                <w:smallCaps w:val="false"/>
                <w:sz w:val="20"/>
              </w:rPr>
              <w:t xml:space="preserve"> — defined as inputs other than quoted prices in active markets that are either directly or indirectly observable; and</w:t>
            </w:r>
          </w:p>
        </w:tc>
      </w:tr>
      <w:tr>
        <w:trPr/>
        <w:tc>
          <w:tcPr>
            <w:tcW w:w="60" w:type="dxa"/>
            <w:tcBorders/>
            <w:vAlign w:val="center"/>
          </w:tcPr>
          <w:p>
            <w:pPr>
              <w:pStyle w:val="TableContents"/>
              <w:bidi w:val="0"/>
              <w:spacing w:before="0" w:after="0"/>
              <w:ind w:left="0" w:right="0" w:hanging="0"/>
              <w:jc w:val="both"/>
              <w:rPr/>
            </w:pPr>
            <w:r>
              <w:rPr/>
              <w:t> </w:t>
            </w:r>
          </w:p>
        </w:tc>
        <w:tc>
          <w:tcPr>
            <w:tcW w:w="170" w:type="dxa"/>
            <w:tcBorders/>
            <w:vAlign w:val="center"/>
          </w:tcPr>
          <w:p>
            <w:pPr>
              <w:pStyle w:val="TableContents"/>
              <w:bidi w:val="0"/>
              <w:spacing w:before="0" w:after="283"/>
              <w:jc w:val="both"/>
              <w:rPr/>
            </w:pPr>
            <w:r>
              <w:rPr/>
              <w:t>●</w:t>
            </w:r>
          </w:p>
        </w:tc>
        <w:tc>
          <w:tcPr>
            <w:tcW w:w="9975" w:type="dxa"/>
            <w:tcBorders/>
            <w:vAlign w:val="center"/>
          </w:tcPr>
          <w:p>
            <w:pPr>
              <w:pStyle w:val="TableContents"/>
              <w:bidi w:val="0"/>
              <w:spacing w:before="0" w:after="0"/>
              <w:ind w:left="0" w:right="0" w:hanging="0"/>
              <w:jc w:val="both"/>
              <w:rPr/>
            </w:pPr>
            <w:r>
              <w:rPr>
                <w:rFonts w:ascii="Times New Roman;Times;serif" w:hAnsi="Times New Roman;Times;serif"/>
                <w:sz w:val="20"/>
              </w:rPr>
              <w:t>Level </w:t>
            </w:r>
            <w:r>
              <w:rPr>
                <w:rStyle w:val="Emphasis"/>
                <w:rFonts w:ascii="Times New Roman;Times;serif" w:hAnsi="Times New Roman;Times;serif"/>
                <w:sz w:val="20"/>
              </w:rPr>
              <w:t>3</w:t>
            </w:r>
            <w:r>
              <w:rPr>
                <w:rFonts w:ascii="Times New Roman;Times;serif" w:hAnsi="Times New Roman;Times;serif"/>
                <w:sz w:val="20"/>
              </w:rPr>
              <w:t xml:space="preserve"> — defined as unobservable inputs, for which little or </w:t>
            </w:r>
            <w:r>
              <w:rPr>
                <w:rStyle w:val="Emphasis"/>
                <w:rFonts w:ascii="Times New Roman;Times;serif" w:hAnsi="Times New Roman;Times;serif"/>
                <w:sz w:val="20"/>
              </w:rPr>
              <w:t>no</w:t>
            </w:r>
            <w:r>
              <w:rPr>
                <w:rFonts w:ascii="Times New Roman;Times;serif" w:hAnsi="Times New Roman;Times;serif"/>
                <w:sz w:val="20"/>
              </w:rPr>
              <w:t xml:space="preserve"> market data exists, therefore requiring an entity to develop its own assumptions.</w:t>
            </w:r>
          </w:p>
        </w:tc>
      </w:tr>
    </w:tbl>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See Note </w:t>
      </w:r>
      <w:r>
        <w:rPr>
          <w:rStyle w:val="Emphasis"/>
          <w:rFonts w:ascii="Times New Roman;Times;serif" w:hAnsi="Times New Roman;Times;serif"/>
          <w:sz w:val="20"/>
        </w:rPr>
        <w:t>5</w:t>
      </w:r>
      <w:r>
        <w:rPr>
          <w:rFonts w:ascii="Times New Roman;Times;serif" w:hAnsi="Times New Roman;Times;serif"/>
          <w:sz w:val="20"/>
        </w:rPr>
        <w:t xml:space="preserve">, </w:t>
      </w:r>
      <w:r>
        <w:rPr>
          <w:rFonts w:ascii="Times New Roman;Times;serif" w:hAnsi="Times New Roman;Times;serif"/>
          <w:i/>
          <w:sz w:val="20"/>
        </w:rPr>
        <w:t>Fair Value Measurements</w:t>
      </w:r>
      <w:r>
        <w:rPr>
          <w:rFonts w:ascii="Times New Roman;Times;serif" w:hAnsi="Times New Roman;Times;serif"/>
          <w:sz w:val="20"/>
        </w:rPr>
        <w:t xml:space="preserve">, for further details.  </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(g) Goodwill</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Goodwill represents the difference between the purchase price and the estimated fair value of net assets acquired when accounted for by the acquisition method of accounting. As of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December 31, 2025</w:t>
      </w:r>
      <w:r>
        <w:rPr>
          <w:rFonts w:ascii="Times New Roman;Times;serif" w:hAnsi="Times New Roman;Times;serif"/>
          <w:sz w:val="20"/>
        </w:rPr>
        <w:t>, there was no remaining goodwill.  </w:t>
      </w:r>
    </w:p>
    <w:p>
      <w:pPr>
        <w:pStyle w:val="TextBody"/>
        <w:bidi w:val="0"/>
        <w:spacing w:before="0" w:after="0"/>
        <w:ind w:left="0" w:right="0" w:hanging="0"/>
        <w:jc w:val="both"/>
        <w:rPr/>
      </w:pPr>
      <w:r>
        <w:rPr/>
        <w:t> </w:t>
      </w:r>
    </w:p>
    <w:p>
      <w:pPr>
        <w:pStyle w:val="TextBody"/>
        <w:bidi w:val="0"/>
        <w:spacing w:before="0" w:after="0"/>
        <w:ind w:left="0" w:right="0" w:hanging="0"/>
        <w:jc w:val="left"/>
        <w:rPr/>
      </w:pPr>
      <w:r>
        <w:rPr>
          <w:rStyle w:val="Emphasis"/>
          <w:rFonts w:ascii="Times New Roman;Times;serif" w:hAnsi="Times New Roman;Times;serif"/>
          <w:b/>
          <w:sz w:val="20"/>
        </w:rPr>
        <w:t>2.</w:t>
      </w:r>
      <w:r>
        <w:rPr>
          <w:rFonts w:ascii="Times New Roman;Times;serif" w:hAnsi="Times New Roman;Times;serif"/>
          <w:b/>
          <w:sz w:val="20"/>
        </w:rPr>
        <w:t xml:space="preserve"> Income (loss) per share</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Basic income (loss) per share is computed by dividing net income (loss) by the weighted average number of common shares outstanding, restricted stock units ("RSUs"), and restricted common stock that have vested but </w:t>
      </w:r>
      <w:r>
        <w:rPr>
          <w:rStyle w:val="Emphasis"/>
          <w:rFonts w:ascii="Times New Roman;Times;serif" w:hAnsi="Times New Roman;Times;serif"/>
          <w:sz w:val="20"/>
        </w:rPr>
        <w:t>not</w:t>
      </w:r>
      <w:r>
        <w:rPr>
          <w:rFonts w:ascii="Times New Roman;Times;serif" w:hAnsi="Times New Roman;Times;serif"/>
          <w:sz w:val="20"/>
        </w:rPr>
        <w:t xml:space="preserve"> been delivered during the period. Diluted income (loss) per share reflects the potential dilution that could occur if securities or other contracts to issue common stock were exercised or converted into common stock and is calculated using the treasury stock method for stock options, RSUs, restricted stock, pre-funded warrants, common stock warrants, direct offering, deferred common stock, and unvested shares (see Note </w:t>
      </w:r>
      <w:r>
        <w:rPr>
          <w:rStyle w:val="Emphasis"/>
          <w:rFonts w:ascii="Times New Roman;Times;serif" w:hAnsi="Times New Roman;Times;serif"/>
          <w:sz w:val="20"/>
        </w:rPr>
        <w:t>7</w:t>
      </w:r>
      <w:r>
        <w:rPr>
          <w:rFonts w:ascii="Times New Roman;Times;serif" w:hAnsi="Times New Roman;Times;serif"/>
          <w:sz w:val="20"/>
        </w:rPr>
        <w:t>, </w:t>
      </w:r>
      <w:r>
        <w:rPr>
          <w:rFonts w:ascii="Times New Roman;Times;serif" w:hAnsi="Times New Roman;Times;serif"/>
          <w:i/>
          <w:sz w:val="20"/>
        </w:rPr>
        <w:t>Equity</w:t>
      </w:r>
      <w:r>
        <w:rPr>
          <w:rFonts w:ascii="Times New Roman;Times;serif" w:hAnsi="Times New Roman;Times;serif"/>
          <w:sz w:val="20"/>
        </w:rPr>
        <w:t>, below). Stock equivalent shares are excluded from the calculation in loss periods, as their effects would be anti-dilutive.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basic and diluted loss per share were as follows:</w:t>
      </w:r>
    </w:p>
    <w:p>
      <w:pPr>
        <w:pStyle w:val="TextBody"/>
        <w:bidi w:val="0"/>
        <w:spacing w:before="0" w:after="0"/>
        <w:ind w:left="0" w:right="0" w:hanging="0"/>
        <w:jc w:val="left"/>
        <w:rPr/>
      </w:pPr>
      <w:r>
        <w:rPr/>
        <w:t> </w:t>
      </w:r>
    </w:p>
    <w:tbl>
      <w:tblPr>
        <w:tblW w:w="9080" w:type="dxa"/>
        <w:jc w:val="left"/>
        <w:tblInd w:w="0" w:type="dxa"/>
        <w:tblLayout w:type="fixed"/>
        <w:tblCellMar>
          <w:top w:w="0" w:type="dxa"/>
          <w:left w:w="0" w:type="dxa"/>
          <w:bottom w:w="0" w:type="dxa"/>
          <w:right w:w="0" w:type="dxa"/>
        </w:tblCellMar>
      </w:tblPr>
      <w:tblGrid>
        <w:gridCol w:w="4400"/>
        <w:gridCol w:w="60"/>
        <w:gridCol w:w="125"/>
        <w:gridCol w:w="945"/>
        <w:gridCol w:w="91"/>
        <w:gridCol w:w="68"/>
        <w:gridCol w:w="125"/>
        <w:gridCol w:w="945"/>
        <w:gridCol w:w="80"/>
        <w:gridCol w:w="60"/>
        <w:gridCol w:w="114"/>
        <w:gridCol w:w="864"/>
        <w:gridCol w:w="83"/>
        <w:gridCol w:w="62"/>
        <w:gridCol w:w="114"/>
        <w:gridCol w:w="864"/>
        <w:gridCol w:w="80"/>
      </w:tblGrid>
      <w:tr>
        <w:trPr/>
        <w:tc>
          <w:tcPr>
            <w:tcW w:w="44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Six Months Ended June 30,</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40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91"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07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83"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Numerator: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40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18"/>
              </w:rPr>
            </w:pPr>
            <w:r>
              <w:rPr>
                <w:rFonts w:ascii="Times New Roman" w:hAnsi="Times New Roman"/>
                <w:b/>
                <w:caps w:val="false"/>
                <w:smallCaps w:val="false"/>
                <w:sz w:val="18"/>
              </w:rPr>
              <w:t>Net loss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(6,177</w:t>
            </w:r>
          </w:p>
        </w:tc>
        <w:tc>
          <w:tcPr>
            <w:tcW w:w="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8"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(7,223</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(11,531</w:t>
            </w:r>
          </w:p>
        </w:tc>
        <w:tc>
          <w:tcPr>
            <w:tcW w:w="8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(15,492</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Denominator:</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400" w:type="dxa"/>
            <w:tcBorders/>
            <w:shd w:fill="FFFF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Weighted average shares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31,252,003</w:t>
            </w:r>
          </w:p>
        </w:tc>
        <w:tc>
          <w:tcPr>
            <w:tcW w:w="91"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23,840,664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31,176,650</w:t>
            </w:r>
          </w:p>
        </w:tc>
        <w:tc>
          <w:tcPr>
            <w:tcW w:w="83"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22,378,144</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4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Weighted average restricted shares vested not delivered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292,931</w:t>
            </w:r>
          </w:p>
        </w:tc>
        <w:tc>
          <w:tcPr>
            <w:tcW w:w="91"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221,139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288,160</w:t>
            </w:r>
          </w:p>
        </w:tc>
        <w:tc>
          <w:tcPr>
            <w:tcW w:w="83"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283,807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400" w:type="dxa"/>
            <w:tcBorders/>
            <w:shd w:fill="FFFFFF" w:val="clear"/>
            <w:vAlign w:val="center"/>
          </w:tcPr>
          <w:p>
            <w:pPr>
              <w:pStyle w:val="TableContents"/>
              <w:bidi w:val="0"/>
              <w:spacing w:before="0" w:after="0"/>
              <w:ind w:left="180" w:right="0" w:hanging="0"/>
              <w:jc w:val="left"/>
              <w:rPr>
                <w:rFonts w:ascii="Times New Roman" w:hAnsi="Times New Roman"/>
                <w:b/>
                <w:caps w:val="false"/>
                <w:smallCaps w:val="false"/>
                <w:sz w:val="18"/>
              </w:rPr>
            </w:pPr>
            <w:r>
              <w:rPr>
                <w:rFonts w:ascii="Times New Roman" w:hAnsi="Times New Roman"/>
                <w:b/>
                <w:caps w:val="false"/>
                <w:smallCaps w:val="false"/>
                <w:sz w:val="18"/>
              </w:rPr>
              <w:t>Total basic weighted average shares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31,544,934</w:t>
            </w:r>
          </w:p>
        </w:tc>
        <w:tc>
          <w:tcPr>
            <w:tcW w:w="91"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24,061,803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31,464,810</w:t>
            </w:r>
          </w:p>
        </w:tc>
        <w:tc>
          <w:tcPr>
            <w:tcW w:w="83"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22,661,951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400" w:type="dxa"/>
            <w:tcBorders/>
            <w:shd w:fill="CCEEFF" w:val="clear"/>
            <w:vAlign w:val="center"/>
          </w:tcPr>
          <w:p>
            <w:pPr>
              <w:pStyle w:val="TableContents"/>
              <w:bidi w:val="0"/>
              <w:spacing w:before="0" w:after="0"/>
              <w:ind w:left="360" w:right="0" w:hanging="0"/>
              <w:jc w:val="left"/>
              <w:rPr>
                <w:rFonts w:ascii="Times New Roman" w:hAnsi="Times New Roman"/>
                <w:caps w:val="false"/>
                <w:smallCaps w:val="false"/>
                <w:sz w:val="18"/>
              </w:rPr>
            </w:pPr>
            <w:r>
              <w:rPr>
                <w:rFonts w:ascii="Times New Roman" w:hAnsi="Times New Roman"/>
                <w:caps w:val="false"/>
                <w:smallCaps w:val="false"/>
                <w:sz w:val="18"/>
              </w:rPr>
              <w:t>Dilutive effect of assumed conversion of 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91"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3"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14"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6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4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Total diluted weighted average shares outstanding</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31,544,934</w:t>
            </w:r>
          </w:p>
        </w:tc>
        <w:tc>
          <w:tcPr>
            <w:tcW w:w="91" w:type="dxa"/>
            <w:tcBorders/>
            <w:shd w:fill="FFFFFF" w:val="clear"/>
            <w:vAlign w:val="center"/>
          </w:tcPr>
          <w:p>
            <w:pPr>
              <w:pStyle w:val="TableContents"/>
              <w:bidi w:val="0"/>
              <w:spacing w:before="0" w:after="0"/>
              <w:ind w:left="0" w:right="0" w:hanging="0"/>
              <w:jc w:val="left"/>
              <w:rPr/>
            </w:pPr>
            <w:r>
              <w:rPr/>
              <w:t> </w:t>
            </w:r>
          </w:p>
        </w:tc>
        <w:tc>
          <w:tcPr>
            <w:tcW w:w="68"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24,061,803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31,464,810</w:t>
            </w:r>
          </w:p>
        </w:tc>
        <w:tc>
          <w:tcPr>
            <w:tcW w:w="83" w:type="dxa"/>
            <w:tcBorders/>
            <w:shd w:fill="FFFFFF" w:val="clear"/>
            <w:vAlign w:val="center"/>
          </w:tcPr>
          <w:p>
            <w:pPr>
              <w:pStyle w:val="TableContents"/>
              <w:bidi w:val="0"/>
              <w:spacing w:before="0" w:after="0"/>
              <w:ind w:left="0" w:right="0" w:hanging="0"/>
              <w:jc w:val="left"/>
              <w:rPr/>
            </w:pPr>
            <w:r>
              <w:rPr/>
              <w:t> </w:t>
            </w:r>
          </w:p>
        </w:tc>
        <w:tc>
          <w:tcPr>
            <w:tcW w:w="62"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0"/>
              <w:ind w:left="0" w:right="0" w:hanging="0"/>
              <w:jc w:val="left"/>
              <w:rPr/>
            </w:pPr>
            <w:r>
              <w:rPr/>
              <w:t> </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22,661,951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Basic and diluted loss per share:</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91" w:type="dxa"/>
            <w:tcBorders/>
            <w:shd w:fill="CCEEFF" w:val="clear"/>
            <w:vAlign w:val="center"/>
          </w:tcPr>
          <w:p>
            <w:pPr>
              <w:pStyle w:val="TableContents"/>
              <w:bidi w:val="0"/>
              <w:spacing w:before="0" w:after="0"/>
              <w:ind w:left="0" w:right="0" w:hanging="0"/>
              <w:jc w:val="left"/>
              <w:rPr/>
            </w:pPr>
            <w:r>
              <w:rPr/>
              <w:t> </w:t>
            </w:r>
          </w:p>
        </w:tc>
        <w:tc>
          <w:tcPr>
            <w:tcW w:w="68"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pPr>
            <w:r>
              <w:rPr/>
              <w:t> </w:t>
            </w:r>
          </w:p>
        </w:tc>
        <w:tc>
          <w:tcPr>
            <w:tcW w:w="83" w:type="dxa"/>
            <w:tcBorders/>
            <w:shd w:fill="CCEEFF" w:val="clear"/>
            <w:vAlign w:val="center"/>
          </w:tcPr>
          <w:p>
            <w:pPr>
              <w:pStyle w:val="TableContents"/>
              <w:bidi w:val="0"/>
              <w:spacing w:before="0" w:after="0"/>
              <w:ind w:left="0" w:right="0" w:hanging="0"/>
              <w:jc w:val="left"/>
              <w:rPr/>
            </w:pPr>
            <w:r>
              <w:rPr/>
              <w:t> </w:t>
            </w:r>
          </w:p>
        </w:tc>
        <w:tc>
          <w:tcPr>
            <w:tcW w:w="62"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0"/>
              <w:ind w:left="0" w:right="0" w:hanging="0"/>
              <w:jc w:val="left"/>
              <w:rPr/>
            </w:pPr>
            <w:r>
              <w:rPr/>
              <w:t> </w:t>
            </w:r>
          </w:p>
        </w:tc>
        <w:tc>
          <w:tcPr>
            <w:tcW w:w="864"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4400"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Basic</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(0.20</w:t>
            </w:r>
          </w:p>
        </w:tc>
        <w:tc>
          <w:tcPr>
            <w:tcW w:w="91"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8"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(0.30</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(0.37</w:t>
            </w:r>
          </w:p>
        </w:tc>
        <w:tc>
          <w:tcPr>
            <w:tcW w:w="83"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2" w:type="dxa"/>
            <w:tcBorders/>
            <w:shd w:fill="FFFFFF" w:val="clear"/>
            <w:vAlign w:val="center"/>
          </w:tcPr>
          <w:p>
            <w:pPr>
              <w:pStyle w:val="TableContents"/>
              <w:bidi w:val="0"/>
              <w:spacing w:before="0" w:after="0"/>
              <w:ind w:left="0" w:right="0" w:hanging="0"/>
              <w:jc w:val="left"/>
              <w:rPr/>
            </w:pPr>
            <w:r>
              <w:rPr/>
              <w:t> </w:t>
            </w:r>
          </w:p>
        </w:tc>
        <w:tc>
          <w:tcPr>
            <w:tcW w:w="114" w:type="dxa"/>
            <w:tcBorders/>
            <w:shd w:fill="FFFF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4"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(0.68</w:t>
            </w:r>
          </w:p>
        </w:tc>
        <w:tc>
          <w:tcPr>
            <w:tcW w:w="80" w:type="dxa"/>
            <w:tcBorders/>
            <w:shd w:fill="FFFF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18"/>
              </w:rPr>
            </w:pPr>
            <w:r>
              <w:rPr>
                <w:rFonts w:ascii="Times New Roman" w:hAnsi="Times New Roman"/>
                <w:b/>
                <w:caps w:val="false"/>
                <w:smallCaps w:val="false"/>
                <w:sz w:val="18"/>
              </w:rPr>
              <w:t>Diluted</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(0.20</w:t>
            </w:r>
          </w:p>
        </w:tc>
        <w:tc>
          <w:tcPr>
            <w:tcW w:w="91"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8"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94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(0.30</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4"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(0.37</w:t>
            </w:r>
          </w:p>
        </w:tc>
        <w:tc>
          <w:tcPr>
            <w:tcW w:w="83"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c>
          <w:tcPr>
            <w:tcW w:w="62" w:type="dxa"/>
            <w:tcBorders/>
            <w:shd w:fill="CCEEFF" w:val="clear"/>
            <w:vAlign w:val="center"/>
          </w:tcPr>
          <w:p>
            <w:pPr>
              <w:pStyle w:val="TableContents"/>
              <w:bidi w:val="0"/>
              <w:spacing w:before="0" w:after="0"/>
              <w:ind w:left="0" w:right="0" w:hanging="0"/>
              <w:jc w:val="left"/>
              <w:rPr/>
            </w:pPr>
            <w:r>
              <w:rPr/>
              <w:t> </w:t>
            </w:r>
          </w:p>
        </w:tc>
        <w:tc>
          <w:tcPr>
            <w:tcW w:w="114" w:type="dxa"/>
            <w:tcBorders/>
            <w:shd w:fill="CCEEFF" w:val="clear"/>
            <w:vAlign w:val="center"/>
          </w:tcPr>
          <w:p>
            <w:pPr>
              <w:pStyle w:val="TableContents"/>
              <w:bidi w:val="0"/>
              <w:spacing w:before="0" w:after="283"/>
              <w:ind w:left="0" w:right="0" w:hanging="0"/>
              <w:jc w:val="left"/>
              <w:rPr>
                <w:rFonts w:ascii="Times New Roman" w:hAnsi="Times New Roman"/>
                <w:sz w:val="18"/>
              </w:rPr>
            </w:pPr>
            <w:r>
              <w:rPr>
                <w:rFonts w:ascii="Times New Roman" w:hAnsi="Times New Roman"/>
                <w:sz w:val="18"/>
              </w:rPr>
              <w:t>$</w:t>
            </w:r>
          </w:p>
        </w:tc>
        <w:tc>
          <w:tcPr>
            <w:tcW w:w="864"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(0.68</w:t>
            </w:r>
          </w:p>
        </w:tc>
        <w:tc>
          <w:tcPr>
            <w:tcW w:w="80" w:type="dxa"/>
            <w:tcBorders/>
            <w:shd w:fill="CCEEFF" w:val="clear"/>
            <w:vAlign w:val="center"/>
          </w:tcPr>
          <w:p>
            <w:pPr>
              <w:pStyle w:val="TableContents"/>
              <w:bidi w:val="0"/>
              <w:spacing w:before="0" w:after="283"/>
              <w:jc w:val="left"/>
              <w:rPr>
                <w:rFonts w:ascii="Times New Roman" w:hAnsi="Times New Roman"/>
                <w:sz w:val="18"/>
              </w:rPr>
            </w:pPr>
            <w:r>
              <w:rPr>
                <w:rFonts w:ascii="Times New Roman" w:hAnsi="Times New Roman"/>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Based on exercise prices compared to the average stock prices 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certain stock equivalents have been excluded from the diluted weighted average share calculations due to their anti-dilutive nature.</w:t>
      </w:r>
    </w:p>
    <w:p>
      <w:pPr>
        <w:pStyle w:val="TextBody"/>
        <w:bidi w:val="0"/>
        <w:spacing w:before="0" w:after="0"/>
        <w:ind w:left="0" w:right="0" w:hanging="0"/>
        <w:jc w:val="left"/>
        <w:rPr/>
      </w:pPr>
      <w:r>
        <w:rPr/>
        <w:t> </w:t>
      </w:r>
    </w:p>
    <w:tbl>
      <w:tblPr>
        <w:tblW w:w="6610" w:type="dxa"/>
        <w:jc w:val="left"/>
        <w:tblInd w:w="0" w:type="dxa"/>
        <w:tblLayout w:type="fixed"/>
        <w:tblCellMar>
          <w:top w:w="0" w:type="dxa"/>
          <w:left w:w="0" w:type="dxa"/>
          <w:bottom w:w="0" w:type="dxa"/>
          <w:right w:w="0" w:type="dxa"/>
        </w:tblCellMar>
      </w:tblPr>
      <w:tblGrid>
        <w:gridCol w:w="1970"/>
        <w:gridCol w:w="60"/>
        <w:gridCol w:w="80"/>
        <w:gridCol w:w="989"/>
        <w:gridCol w:w="80"/>
        <w:gridCol w:w="80"/>
        <w:gridCol w:w="80"/>
        <w:gridCol w:w="989"/>
        <w:gridCol w:w="60"/>
        <w:gridCol w:w="60"/>
        <w:gridCol w:w="73"/>
        <w:gridCol w:w="905"/>
        <w:gridCol w:w="73"/>
        <w:gridCol w:w="73"/>
        <w:gridCol w:w="73"/>
        <w:gridCol w:w="905"/>
        <w:gridCol w:w="60"/>
      </w:tblGrid>
      <w:tr>
        <w:trPr/>
        <w:tc>
          <w:tcPr>
            <w:tcW w:w="1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Three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102"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Six Months Ended June 30,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9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0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2026</w:t>
            </w:r>
          </w:p>
        </w:tc>
        <w:tc>
          <w:tcPr>
            <w:tcW w:w="73" w:type="dxa"/>
            <w:tcBorders/>
            <w:shd w:fill="FFFFFF" w:val="cle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18"/>
              </w:rPr>
              <w:t>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Restricted stock units</w:t>
            </w:r>
          </w:p>
        </w:tc>
        <w:tc>
          <w:tcPr>
            <w:tcW w:w="6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1,836,203</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989"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836,393</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1,836,203</w:t>
            </w:r>
          </w:p>
        </w:tc>
        <w:tc>
          <w:tcPr>
            <w:tcW w:w="73"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905" w:type="dxa"/>
            <w:tcBorders/>
            <w:shd w:fill="CCEE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836,393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Stock options</w:t>
            </w:r>
          </w:p>
        </w:tc>
        <w:tc>
          <w:tcPr>
            <w:tcW w:w="6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331,667</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989"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331,667</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331,667</w:t>
            </w:r>
          </w:p>
        </w:tc>
        <w:tc>
          <w:tcPr>
            <w:tcW w:w="73" w:type="dxa"/>
            <w:tcBorders/>
            <w:shd w:fill="FFFFFF" w:val="cle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c>
          <w:tcPr>
            <w:tcW w:w="905" w:type="dxa"/>
            <w:tcBorders/>
            <w:shd w:fill="FFFFFF" w:val="cle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331,667</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9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Common stock warrants</w:t>
            </w:r>
          </w:p>
        </w:tc>
        <w:tc>
          <w:tcPr>
            <w:tcW w:w="60" w:type="dxa"/>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7,701,383</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8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1,829,956</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7,701,383</w:t>
            </w:r>
          </w:p>
        </w:tc>
        <w:tc>
          <w:tcPr>
            <w:tcW w:w="73" w:type="dxa"/>
            <w:tcBorders/>
            <w:shd w:fill="CCEEFF" w:val="clear"/>
            <w:vAlign w:val="center"/>
          </w:tcPr>
          <w:p>
            <w:pPr>
              <w:pStyle w:val="TableContents"/>
              <w:bidi w:val="0"/>
              <w:spacing w:before="0" w:after="0"/>
              <w:ind w:left="0" w:right="0" w:hanging="0"/>
              <w:jc w:val="left"/>
              <w:rPr/>
            </w:pPr>
            <w:r>
              <w:rPr/>
              <w:t> </w:t>
            </w:r>
          </w:p>
        </w:tc>
        <w:tc>
          <w:tcPr>
            <w:tcW w:w="73" w:type="dxa"/>
            <w:tcBorders/>
            <w:shd w:fill="CCEEFF" w:val="clear"/>
            <w:vAlign w:val="center"/>
          </w:tcPr>
          <w:p>
            <w:pPr>
              <w:pStyle w:val="TableContents"/>
              <w:bidi w:val="0"/>
              <w:spacing w:before="0" w:after="0"/>
              <w:ind w:left="0" w:right="0" w:hanging="0"/>
              <w:jc w:val="left"/>
              <w:rPr/>
            </w:pPr>
            <w:r>
              <w:rPr/>
              <w:t> </w:t>
            </w:r>
          </w:p>
        </w:tc>
        <w:tc>
          <w:tcPr>
            <w:tcW w:w="7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1,829,956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9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18"/>
              </w:rPr>
            </w:pPr>
            <w:r>
              <w:rPr>
                <w:rFonts w:ascii="Times New Roman" w:hAnsi="Times New Roman"/>
                <w:caps w:val="false"/>
                <w:smallCaps w:val="false"/>
                <w:sz w:val="18"/>
              </w:rPr>
              <w:t>Total anti-dilutive securities</w:t>
            </w:r>
          </w:p>
        </w:tc>
        <w:tc>
          <w:tcPr>
            <w:tcW w:w="60" w:type="dxa"/>
            <w:tcBorders/>
            <w:shd w:fill="FFFFFF" w:val="clear"/>
            <w:vAlign w:val="center"/>
          </w:tcPr>
          <w:p>
            <w:pPr>
              <w:pStyle w:val="TableContents"/>
              <w:bidi w:val="0"/>
              <w:spacing w:before="0" w:after="0"/>
              <w:ind w:left="0" w:right="0" w:hanging="0"/>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9,869,253</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2,998,016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9,869,253</w:t>
            </w:r>
          </w:p>
        </w:tc>
        <w:tc>
          <w:tcPr>
            <w:tcW w:w="73" w:type="dxa"/>
            <w:tcBorders/>
            <w:shd w:fill="FFFFFF" w:val="clear"/>
            <w:vAlign w:val="center"/>
          </w:tcPr>
          <w:p>
            <w:pPr>
              <w:pStyle w:val="TableContents"/>
              <w:bidi w:val="0"/>
              <w:spacing w:before="0" w:after="0"/>
              <w:ind w:left="0" w:right="0" w:hanging="0"/>
              <w:jc w:val="left"/>
              <w:rPr/>
            </w:pPr>
            <w:r>
              <w:rPr/>
              <w:t> </w:t>
            </w:r>
          </w:p>
        </w:tc>
        <w:tc>
          <w:tcPr>
            <w:tcW w:w="73" w:type="dxa"/>
            <w:tcBorders/>
            <w:shd w:fill="FFFFFF" w:val="clear"/>
            <w:vAlign w:val="center"/>
          </w:tcPr>
          <w:p>
            <w:pPr>
              <w:pStyle w:val="TableContents"/>
              <w:bidi w:val="0"/>
              <w:spacing w:before="0" w:after="0"/>
              <w:ind w:left="0" w:right="0" w:hanging="0"/>
              <w:jc w:val="left"/>
              <w:rPr/>
            </w:pPr>
            <w:r>
              <w:rPr/>
              <w:t> </w:t>
            </w:r>
          </w:p>
        </w:tc>
        <w:tc>
          <w:tcPr>
            <w:tcW w:w="7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18"/>
              </w:rPr>
            </w:pPr>
            <w:r>
              <w:rPr>
                <w:rFonts w:ascii="Times New Roman" w:hAnsi="Times New Roman"/>
                <w:sz w:val="18"/>
              </w:rPr>
              <w:t>2,998,016</w:t>
            </w:r>
          </w:p>
        </w:tc>
        <w:tc>
          <w:tcPr>
            <w:tcW w:w="6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3.</w:t>
      </w:r>
      <w:r>
        <w:rPr>
          <w:rFonts w:ascii="Times New Roman;Times;serif" w:hAnsi="Times New Roman;Times;serif"/>
          <w:b/>
          <w:sz w:val="20"/>
        </w:rPr>
        <w:t xml:space="preserve"> Intangible assets, net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Intangible assets, net, other than goodwill, consist of the following: </w:t>
      </w:r>
    </w:p>
    <w:p>
      <w:pPr>
        <w:pStyle w:val="TextBody"/>
        <w:bidi w:val="0"/>
        <w:spacing w:before="0" w:after="0"/>
        <w:ind w:left="0" w:right="0" w:hanging="0"/>
        <w:jc w:val="left"/>
        <w:rPr/>
      </w:pPr>
      <w:r>
        <w:rPr/>
        <w:t> </w:t>
      </w:r>
    </w:p>
    <w:tbl>
      <w:tblPr>
        <w:tblW w:w="8592" w:type="dxa"/>
        <w:jc w:val="left"/>
        <w:tblInd w:w="0" w:type="dxa"/>
        <w:tblLayout w:type="fixed"/>
        <w:tblCellMar>
          <w:top w:w="0" w:type="dxa"/>
          <w:left w:w="0" w:type="dxa"/>
          <w:bottom w:w="0" w:type="dxa"/>
          <w:right w:w="0" w:type="dxa"/>
        </w:tblCellMar>
      </w:tblPr>
      <w:tblGrid>
        <w:gridCol w:w="2885"/>
        <w:gridCol w:w="60"/>
        <w:gridCol w:w="517"/>
        <w:gridCol w:w="1992"/>
        <w:gridCol w:w="60"/>
        <w:gridCol w:w="60"/>
        <w:gridCol w:w="169"/>
        <w:gridCol w:w="1020"/>
        <w:gridCol w:w="80"/>
        <w:gridCol w:w="60"/>
        <w:gridCol w:w="228"/>
        <w:gridCol w:w="1381"/>
        <w:gridCol w:w="80"/>
      </w:tblGrid>
      <w:tr>
        <w:trPr/>
        <w:tc>
          <w:tcPr>
            <w:tcW w:w="28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0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Times New Roman;Times;serif" w:hAnsi="Times New Roman;Times;serif"/>
                <w:b/>
                <w:sz w:val="20"/>
              </w:rPr>
              <w:t>Amortization period (in years)</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0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Gross amount:</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Software developed for internal use</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29,840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28,141</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Acquired proprietary technology</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13,482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14,282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34,986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36,686</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Trade names</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16,657</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Domain names</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Databases</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5-10</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31,292</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Non-compete agreements</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gross amount</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128,216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129,021</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180" w:right="0" w:hanging="180"/>
              <w:jc w:val="left"/>
              <w:rPr>
                <w:rFonts w:ascii="Times New Roman;Times;serif" w:hAnsi="Times New Roman;Times;serif"/>
                <w:sz w:val="20"/>
              </w:rPr>
            </w:pPr>
            <w:r>
              <w:rPr>
                <w:rFonts w:ascii="Times New Roman;Times;serif" w:hAnsi="Times New Roman;Times;serif"/>
                <w:sz w:val="20"/>
              </w:rPr>
              <w:t>Accumulated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Software developed for internal use</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(20,929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(19,305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Acquired proprietary technology</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(13,482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(14,282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(34,986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Trade names</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(8,938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Domain names</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Databases</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(31,292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FFFFFF" w:val="clear"/>
            <w:vAlign w:val="center"/>
          </w:tcPr>
          <w:p>
            <w:pPr>
              <w:pStyle w:val="TableContents"/>
              <w:bidi w:val="0"/>
              <w:spacing w:before="0" w:after="0"/>
              <w:ind w:left="0" w:right="0" w:firstLine="180"/>
              <w:jc w:val="left"/>
              <w:rPr>
                <w:rFonts w:ascii="Times New Roman;Times;serif" w:hAnsi="Times New Roman;Times;serif"/>
                <w:sz w:val="20"/>
              </w:rPr>
            </w:pPr>
            <w:r>
              <w:rPr>
                <w:rFonts w:ascii="Times New Roman;Times;serif" w:hAnsi="Times New Roman;Times;serif"/>
                <w:sz w:val="20"/>
              </w:rPr>
              <w:t>Non-compete agreements</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20"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FFFF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(1,768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accumulated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(111,496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(111,745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8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Net intangible assets:</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Software developed for internal use</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8,911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8,836</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Customer relationships</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Trade names</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102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shd w:fill="FFFFFF" w:val="clear"/>
            <w:vAlign w:val="center"/>
          </w:tcPr>
          <w:p>
            <w:pPr>
              <w:pStyle w:val="TableContents"/>
              <w:bidi w:val="0"/>
              <w:spacing w:before="0" w:after="0"/>
              <w:ind w:left="0" w:right="0" w:hanging="0"/>
              <w:jc w:val="left"/>
              <w:rPr/>
            </w:pPr>
            <w:r>
              <w:rPr/>
              <w:t> </w:t>
            </w:r>
          </w:p>
        </w:tc>
        <w:tc>
          <w:tcPr>
            <w:tcW w:w="13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8,128</w:t>
            </w:r>
          </w:p>
        </w:tc>
        <w:tc>
          <w:tcPr>
            <w:tcW w:w="8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180" w:right="0" w:hanging="0"/>
              <w:jc w:val="left"/>
              <w:rPr>
                <w:rFonts w:ascii="Times New Roman;Times;serif" w:hAnsi="Times New Roman;Times;serif"/>
                <w:sz w:val="20"/>
              </w:rPr>
            </w:pPr>
            <w:r>
              <w:rPr>
                <w:rFonts w:ascii="Times New Roman;Times;serif" w:hAnsi="Times New Roman;Times;serif"/>
                <w:sz w:val="20"/>
              </w:rPr>
              <w:t>Domain names</w:t>
            </w:r>
          </w:p>
        </w:tc>
        <w:tc>
          <w:tcPr>
            <w:tcW w:w="60" w:type="dxa"/>
            <w:tcBorders/>
            <w:shd w:fill="CCEEFF" w:val="clear"/>
            <w:vAlign w:val="center"/>
          </w:tcPr>
          <w:p>
            <w:pPr>
              <w:pStyle w:val="TableContents"/>
              <w:bidi w:val="0"/>
              <w:spacing w:before="0" w:after="0"/>
              <w:ind w:left="0" w:right="0" w:hanging="0"/>
              <w:jc w:val="left"/>
              <w:rPr/>
            </w:pPr>
            <w:r>
              <w:rPr/>
              <w:t> </w:t>
            </w:r>
          </w:p>
        </w:tc>
        <w:tc>
          <w:tcPr>
            <w:tcW w:w="517" w:type="dxa"/>
            <w:tcBorders/>
            <w:shd w:fill="CCEEFF" w:val="clear"/>
            <w:vAlign w:val="center"/>
          </w:tcPr>
          <w:p>
            <w:pPr>
              <w:pStyle w:val="TableContents"/>
              <w:bidi w:val="0"/>
              <w:spacing w:before="0" w:after="0"/>
              <w:ind w:left="0" w:right="0" w:hanging="0"/>
              <w:jc w:val="left"/>
              <w:rPr/>
            </w:pPr>
            <w:r>
              <w:rPr/>
              <w:t> </w:t>
            </w:r>
          </w:p>
        </w:tc>
        <w:tc>
          <w:tcPr>
            <w:tcW w:w="1992" w:type="dxa"/>
            <w:tcBorders/>
            <w:shd w:fill="CCEEFF" w:val="clear"/>
            <w:vAlign w:val="center"/>
          </w:tcPr>
          <w:p>
            <w:pPr>
              <w:pStyle w:val="TableContents"/>
              <w:bidi w:val="0"/>
              <w:spacing w:before="0" w:after="0"/>
              <w:ind w:left="0" w:right="0" w:hanging="0"/>
              <w:jc w:val="right"/>
              <w:rPr/>
            </w:pPr>
            <w:r>
              <w:rPr>
                <w:rStyle w:val="Emphasis"/>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10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28" w:type="dxa"/>
            <w:tcBorders/>
            <w:shd w:fill="CCEEFF" w:val="clear"/>
            <w:vAlign w:val="center"/>
          </w:tcPr>
          <w:p>
            <w:pPr>
              <w:pStyle w:val="TableContents"/>
              <w:bidi w:val="0"/>
              <w:spacing w:before="0" w:after="0"/>
              <w:ind w:left="0" w:right="0" w:hanging="0"/>
              <w:jc w:val="left"/>
              <w:rPr/>
            </w:pPr>
            <w:r>
              <w:rPr/>
              <w:t> </w:t>
            </w:r>
          </w:p>
        </w:tc>
        <w:tc>
          <w:tcPr>
            <w:tcW w:w="138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w:t>
            </w:r>
          </w:p>
        </w:tc>
        <w:tc>
          <w:tcPr>
            <w:tcW w:w="8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Total intangible assets, net</w:t>
            </w:r>
          </w:p>
        </w:tc>
        <w:tc>
          <w:tcPr>
            <w:tcW w:w="60" w:type="dxa"/>
            <w:tcBorders/>
            <w:shd w:fill="FFFFFF" w:val="clear"/>
            <w:vAlign w:val="center"/>
          </w:tcPr>
          <w:p>
            <w:pPr>
              <w:pStyle w:val="TableContents"/>
              <w:bidi w:val="0"/>
              <w:spacing w:before="0" w:after="0"/>
              <w:ind w:left="0" w:right="0" w:hanging="0"/>
              <w:jc w:val="left"/>
              <w:rPr/>
            </w:pPr>
            <w:r>
              <w:rPr/>
              <w:t> </w:t>
            </w:r>
          </w:p>
        </w:tc>
        <w:tc>
          <w:tcPr>
            <w:tcW w:w="517" w:type="dxa"/>
            <w:tcBorders/>
            <w:shd w:fill="FFFFFF" w:val="clear"/>
            <w:vAlign w:val="center"/>
          </w:tcPr>
          <w:p>
            <w:pPr>
              <w:pStyle w:val="TableContents"/>
              <w:bidi w:val="0"/>
              <w:spacing w:before="0" w:after="0"/>
              <w:ind w:left="0" w:right="0" w:hanging="0"/>
              <w:jc w:val="left"/>
              <w:rPr/>
            </w:pPr>
            <w:r>
              <w:rPr/>
              <w:t> </w:t>
            </w:r>
          </w:p>
        </w:tc>
        <w:tc>
          <w:tcPr>
            <w:tcW w:w="1992" w:type="dxa"/>
            <w:tcBorders/>
            <w:shd w:fill="FFFFFF" w:val="clear"/>
            <w:vAlign w:val="center"/>
          </w:tcPr>
          <w:p>
            <w:pPr>
              <w:pStyle w:val="TableContents"/>
              <w:bidi w:val="0"/>
              <w:spacing w:before="0" w:after="0"/>
              <w:ind w:left="0" w:right="0" w:hanging="0"/>
              <w:jc w:val="right"/>
              <w:rPr/>
            </w:pPr>
            <w:r>
              <w:rPr>
                <w:rStyle w:val="Emphasis"/>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16,720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8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17,276</w:t>
            </w:r>
          </w:p>
        </w:tc>
        <w:tc>
          <w:tcPr>
            <w:tcW w:w="8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The gross amounts associated with software developed for internal use primarily represent capitalized costs of internally developed software. The amounts relating to customer relationships, trade names, and domain names primarily represented the fair values of intangible assets acquired as a result of the acquisition of Fluent, LLC, effective </w:t>
      </w:r>
      <w:r>
        <w:rPr>
          <w:rStyle w:val="Emphasis"/>
          <w:rFonts w:ascii="Times New Roman;Times;serif" w:hAnsi="Times New Roman;Times;serif"/>
          <w:sz w:val="20"/>
        </w:rPr>
        <w:t>December 8, 2015; </w:t>
      </w:r>
      <w:r>
        <w:rPr>
          <w:rFonts w:ascii="Times New Roman;Times;serif" w:hAnsi="Times New Roman;Times;serif"/>
          <w:sz w:val="20"/>
        </w:rPr>
        <w:t xml:space="preserve">the acquisition of Q Interactive, LLC, effective </w:t>
      </w:r>
      <w:r>
        <w:rPr>
          <w:rStyle w:val="Emphasis"/>
          <w:rFonts w:ascii="Times New Roman;Times;serif" w:hAnsi="Times New Roman;Times;serif"/>
          <w:sz w:val="20"/>
        </w:rPr>
        <w:t xml:space="preserve">June 8, 2016; </w:t>
      </w:r>
      <w:r>
        <w:rPr>
          <w:rFonts w:ascii="Times New Roman;Times;serif" w:hAnsi="Times New Roman;Times;serif"/>
          <w:sz w:val="20"/>
        </w:rPr>
        <w:t xml:space="preserve">the acquisition of substantially all the assets of AdParlor Holdings, Inc. and certain of its affiliates, effective </w:t>
      </w:r>
      <w:r>
        <w:rPr>
          <w:rStyle w:val="Emphasis"/>
          <w:rFonts w:ascii="Times New Roman;Times;serif" w:hAnsi="Times New Roman;Times;serif"/>
          <w:sz w:val="20"/>
        </w:rPr>
        <w:t xml:space="preserve">July 1, 2019; </w:t>
      </w:r>
      <w:r>
        <w:rPr>
          <w:rFonts w:ascii="Times New Roman;Times;serif" w:hAnsi="Times New Roman;Times;serif"/>
          <w:sz w:val="20"/>
        </w:rPr>
        <w:t xml:space="preserve">and previously the acquisition of a 50% interest in Winopoly, LLC, effective </w:t>
      </w:r>
      <w:r>
        <w:rPr>
          <w:rStyle w:val="Emphasis"/>
          <w:rFonts w:ascii="Times New Roman;Times;serif" w:hAnsi="Times New Roman;Times;serif"/>
          <w:sz w:val="20"/>
        </w:rPr>
        <w:t>April 1, 2020</w:t>
      </w:r>
      <w:r>
        <w:rPr>
          <w:rFonts w:ascii="Times New Roman;Times;serif" w:hAnsi="Times New Roman;Times;serif"/>
          <w:i/>
          <w:sz w:val="20"/>
        </w:rPr>
        <w:t>. </w:t>
      </w:r>
      <w:r>
        <w:rPr>
          <w:rFonts w:ascii="Times New Roman;Times;serif" w:hAnsi="Times New Roman;Times;serif"/>
          <w:sz w:val="20"/>
        </w:rPr>
        <w:t xml:space="preserve">On </w:t>
      </w:r>
      <w:r>
        <w:rPr>
          <w:rStyle w:val="Emphasis"/>
          <w:rFonts w:ascii="Times New Roman;Times;serif" w:hAnsi="Times New Roman;Times;serif"/>
          <w:sz w:val="20"/>
        </w:rPr>
        <w:t>January 31,</w:t>
      </w:r>
      <w:r>
        <w:rPr>
          <w:rFonts w:ascii="Times New Roman;Times;serif" w:hAnsi="Times New Roman;Times;serif"/>
          <w:sz w:val="20"/>
        </w:rPr>
        <w:t xml:space="preserve"> </w:t>
      </w:r>
      <w:r>
        <w:rPr>
          <w:rStyle w:val="Emphasis"/>
          <w:rFonts w:ascii="Times New Roman;Times;serif" w:hAnsi="Times New Roman;Times;serif"/>
          <w:sz w:val="20"/>
        </w:rPr>
        <w:t>2026,</w:t>
      </w:r>
      <w:r>
        <w:rPr>
          <w:rFonts w:ascii="Times New Roman;Times;serif" w:hAnsi="Times New Roman;Times;serif"/>
          <w:sz w:val="20"/>
        </w:rPr>
        <w:t xml:space="preserve"> the Company entered into a membership interest purchase agreement to divest its 100% interest in Winopoly, LLC, and accordingly deconsolidated the entity under ASC </w:t>
      </w:r>
      <w:r>
        <w:rPr>
          <w:rStyle w:val="Emphasis"/>
          <w:rFonts w:ascii="Times New Roman;Times;serif" w:hAnsi="Times New Roman;Times;serif"/>
          <w:sz w:val="20"/>
        </w:rPr>
        <w:t>810</w:t>
      </w:r>
      <w:r>
        <w:rPr>
          <w:rFonts w:ascii="Times New Roman;Times;serif" w:hAnsi="Times New Roman;Times;serif"/>
          <w:sz w:val="20"/>
        </w:rPr>
        <w:t xml:space="preserve"> (see Note </w:t>
      </w:r>
      <w:r>
        <w:rPr>
          <w:rStyle w:val="Emphasis"/>
          <w:rFonts w:ascii="Times New Roman;Times;serif" w:hAnsi="Times New Roman;Times;serif"/>
          <w:sz w:val="20"/>
        </w:rPr>
        <w:t>12,</w:t>
      </w:r>
      <w:r>
        <w:rPr>
          <w:rFonts w:ascii="Times New Roman;Times;serif" w:hAnsi="Times New Roman;Times;serif"/>
          <w:sz w:val="20"/>
        </w:rPr>
        <w:t xml:space="preserve"> </w:t>
      </w:r>
      <w:r>
        <w:rPr>
          <w:rFonts w:ascii="Times New Roman;Times;serif" w:hAnsi="Times New Roman;Times;serif"/>
          <w:i/>
          <w:sz w:val="20"/>
        </w:rPr>
        <w:t>Divestiture</w:t>
      </w:r>
      <w:r>
        <w:rPr>
          <w:rFonts w:ascii="Times New Roman;Times;serif" w:hAnsi="Times New Roman;Times;serif"/>
          <w:sz w:val="20"/>
        </w:rPr>
        <w:t xml:space="preserve"> for details).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Company completed its quarterly triggering event assessment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determined that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triggering event had occurred requiring further impairment assessment of its long-lived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 xml:space="preserve">Amortization expenses of $1,701 and $2,407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respectively, and $3,363 and $4,798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respectively, are included in depreciation and amortization expenses in the consolidated statements of operations.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intangible assets with a carrying amount of $546, included in the gross amount of software developed for internal use, have </w:t>
      </w:r>
      <w:r>
        <w:rPr>
          <w:rStyle w:val="Emphasis"/>
          <w:rFonts w:ascii="Times New Roman;Times;serif" w:hAnsi="Times New Roman;Times;serif"/>
          <w:sz w:val="20"/>
        </w:rPr>
        <w:t>not</w:t>
      </w:r>
      <w:r>
        <w:rPr>
          <w:rFonts w:ascii="Times New Roman;Times;serif" w:hAnsi="Times New Roman;Times;serif"/>
          <w:sz w:val="20"/>
        </w:rPr>
        <w:t xml:space="preserve"> commenced amortization, as they are </w:t>
      </w:r>
      <w:r>
        <w:rPr>
          <w:rStyle w:val="Emphasis"/>
          <w:rFonts w:ascii="Times New Roman;Times;serif" w:hAnsi="Times New Roman;Times;serif"/>
          <w:sz w:val="20"/>
        </w:rPr>
        <w:t>not</w:t>
      </w:r>
      <w:r>
        <w:rPr>
          <w:rFonts w:ascii="Times New Roman;Times;serif" w:hAnsi="Times New Roman;Times;serif"/>
          <w:sz w:val="20"/>
        </w:rPr>
        <w:t xml:space="preserve"> ready for their intended use.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June 30, 2026</w:t>
      </w:r>
      <w:r>
        <w:rPr>
          <w:rFonts w:ascii="Times New Roman;Times;serif" w:hAnsi="Times New Roman;Times;serif"/>
          <w:sz w:val="20"/>
        </w:rPr>
        <w:t>, estimated amortization expenses related to the Company's intangible assets for the remainder of </w:t>
      </w:r>
      <w:r>
        <w:rPr>
          <w:rStyle w:val="Emphasis"/>
          <w:rFonts w:ascii="Times New Roman;Times;serif" w:hAnsi="Times New Roman;Times;serif"/>
          <w:sz w:val="20"/>
        </w:rPr>
        <w:t>2026</w:t>
      </w:r>
      <w:r>
        <w:rPr>
          <w:rFonts w:ascii="Times New Roman;Times;serif" w:hAnsi="Times New Roman;Times;serif"/>
          <w:sz w:val="20"/>
        </w:rPr>
        <w:t xml:space="preserve"> and through </w:t>
      </w:r>
      <w:r>
        <w:rPr>
          <w:rStyle w:val="Emphasis"/>
          <w:rFonts w:ascii="Times New Roman;Times;serif" w:hAnsi="Times New Roman;Times;serif"/>
          <w:sz w:val="20"/>
        </w:rPr>
        <w:t>2031</w:t>
      </w:r>
      <w:r>
        <w:rPr>
          <w:rFonts w:ascii="Times New Roman;Times;serif" w:hAnsi="Times New Roman;Times;serif"/>
          <w:sz w:val="20"/>
        </w:rPr>
        <w:t> and thereafter are as follows:</w:t>
      </w:r>
    </w:p>
    <w:p>
      <w:pPr>
        <w:pStyle w:val="TextBody"/>
        <w:bidi w:val="0"/>
        <w:spacing w:before="0" w:after="0"/>
        <w:ind w:left="0" w:right="0" w:hanging="0"/>
        <w:jc w:val="left"/>
        <w:rPr/>
      </w:pPr>
      <w:r>
        <w:rPr/>
        <w:t> </w:t>
      </w:r>
    </w:p>
    <w:tbl>
      <w:tblPr>
        <w:tblW w:w="2904" w:type="dxa"/>
        <w:jc w:val="left"/>
        <w:tblInd w:w="0" w:type="dxa"/>
        <w:tblLayout w:type="fixed"/>
        <w:tblCellMar>
          <w:top w:w="0" w:type="dxa"/>
          <w:left w:w="0" w:type="dxa"/>
          <w:bottom w:w="0" w:type="dxa"/>
          <w:right w:w="0" w:type="dxa"/>
        </w:tblCellMar>
      </w:tblPr>
      <w:tblGrid>
        <w:gridCol w:w="1595"/>
        <w:gridCol w:w="60"/>
        <w:gridCol w:w="208"/>
        <w:gridCol w:w="981"/>
        <w:gridCol w:w="60"/>
      </w:tblGrid>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Year</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Remainder of 2026</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1,899</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2027</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3,798</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2028</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3,798</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2029</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981"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2,313</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2030</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827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595"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2031 and thereafter</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4,085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595"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Total</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16,720</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b/>
          <w:sz w:val="20"/>
        </w:rPr>
        <w:t>4.</w:t>
      </w:r>
      <w:r>
        <w:rPr>
          <w:rFonts w:ascii="Times New Roman;Times;serif" w:hAnsi="Times New Roman;Times;serif"/>
          <w:b/>
          <w:sz w:val="20"/>
        </w:rPr>
        <w:t xml:space="preserve"> Debt, net</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Debt, net of unamortized discount and financing costs, related to the Financing Agreement (as defined herein), Note Payable (as defined herein), and Convertible Notes (as defined herein) with related parties consisted of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373"/>
        <w:gridCol w:w="60"/>
        <w:gridCol w:w="177"/>
        <w:gridCol w:w="925"/>
        <w:gridCol w:w="80"/>
        <w:gridCol w:w="60"/>
        <w:gridCol w:w="233"/>
        <w:gridCol w:w="1215"/>
        <w:gridCol w:w="82"/>
      </w:tblGrid>
      <w:tr>
        <w:trPr/>
        <w:tc>
          <w:tcPr>
            <w:tcW w:w="737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0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June 30, 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44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Times;serif" w:hAnsi="Times New Roman;Times;serif"/>
                <w:b/>
                <w:sz w:val="20"/>
              </w:rPr>
              <w:t>December 31, 2025</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Financing Agreement due 2028 (less unamortized discount and financing costs of $767 and $926, respectively)</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2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26,759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1215" w:type="dxa"/>
            <w:tcBorders/>
            <w:shd w:fill="CCEE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30,346</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37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Note Payable due 2026</w:t>
            </w:r>
          </w:p>
        </w:tc>
        <w:tc>
          <w:tcPr>
            <w:tcW w:w="6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c>
          <w:tcPr>
            <w:tcW w:w="925" w:type="dxa"/>
            <w:tcBorders/>
            <w:shd w:fill="FFFFFF" w:val="clear"/>
            <w:vAlign w:val="center"/>
          </w:tcPr>
          <w:p>
            <w:pPr>
              <w:pStyle w:val="TableContents"/>
              <w:bidi w:val="0"/>
              <w:spacing w:before="0" w:after="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3" w:type="dxa"/>
            <w:tcBorders/>
            <w:shd w:fill="FFFFFF" w:val="clear"/>
            <w:vAlign w:val="center"/>
          </w:tcPr>
          <w:p>
            <w:pPr>
              <w:pStyle w:val="TableContents"/>
              <w:bidi w:val="0"/>
              <w:spacing w:before="0" w:after="0"/>
              <w:ind w:left="0" w:right="0" w:hanging="0"/>
              <w:jc w:val="left"/>
              <w:rPr/>
            </w:pPr>
            <w:r>
              <w:rPr/>
              <w:t> </w:t>
            </w:r>
          </w:p>
        </w:tc>
        <w:tc>
          <w:tcPr>
            <w:tcW w:w="1215" w:type="dxa"/>
            <w:tcBorders/>
            <w:shd w:fill="FFFFFF" w:val="cle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500</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Convertible Notes, at fair value with related parties</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5,155</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5" w:type="dxa"/>
            <w:tcBorders>
              <w:bottom w:val="single" w:sz="2" w:space="0" w:color="000000"/>
            </w:tcBorders>
            <w:shd w:fill="CCEEFF" w:val="clear"/>
            <w:tcMar>
              <w:bottom w:w="28" w:type="dxa"/>
            </w:tcMar>
            <w:vAlign w:val="center"/>
          </w:tcPr>
          <w:p>
            <w:pPr>
              <w:pStyle w:val="TableContents"/>
              <w:bidi w:val="0"/>
              <w:spacing w:before="0" w:after="0"/>
              <w:jc w:val="right"/>
              <w:rPr>
                <w:rFonts w:ascii="Times New Roman;Times;serif" w:hAnsi="Times New Roman;Times;serif"/>
                <w:sz w:val="20"/>
              </w:rPr>
            </w:pPr>
            <w:r>
              <w:rPr>
                <w:rFonts w:ascii="Times New Roman;Times;serif" w:hAnsi="Times New Roman;Times;serif"/>
                <w:sz w:val="20"/>
              </w:rPr>
              <w:t>3,734</w:t>
            </w:r>
          </w:p>
        </w:tc>
        <w:tc>
          <w:tcPr>
            <w:tcW w:w="82" w:type="dxa"/>
            <w:tcBorders/>
            <w:shd w:fill="CCEEFF" w:val="clear"/>
            <w:vAlign w:val="center"/>
          </w:tcPr>
          <w:p>
            <w:pPr>
              <w:pStyle w:val="TableContents"/>
              <w:bidi w:val="0"/>
              <w:spacing w:before="0" w:after="0"/>
              <w:ind w:left="0" w:right="0" w:hanging="0"/>
              <w:jc w:val="left"/>
              <w:rPr/>
            </w:pPr>
            <w:r>
              <w:rPr/>
              <w:t> </w:t>
            </w:r>
          </w:p>
        </w:tc>
      </w:tr>
      <w:tr>
        <w:trPr/>
        <w:tc>
          <w:tcPr>
            <w:tcW w:w="737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Debt, net</w:t>
            </w:r>
          </w:p>
        </w:tc>
        <w:tc>
          <w:tcPr>
            <w:tcW w:w="60" w:type="dxa"/>
            <w:tcBorders/>
            <w:shd w:fill="FFFFFF" w:val="clear"/>
            <w:vAlign w:val="center"/>
          </w:tcPr>
          <w:p>
            <w:pPr>
              <w:pStyle w:val="TableContents"/>
              <w:bidi w:val="0"/>
              <w:spacing w:before="0" w:after="0"/>
              <w:ind w:left="0" w:right="0" w:hanging="0"/>
              <w:jc w:val="left"/>
              <w:rPr/>
            </w:pPr>
            <w:r>
              <w:rPr/>
              <w:t> </w:t>
            </w:r>
          </w:p>
        </w:tc>
        <w:tc>
          <w:tcPr>
            <w:tcW w:w="177" w:type="dxa"/>
            <w:tcBorders/>
            <w:shd w:fill="FFFFFF" w:val="clear"/>
            <w:vAlign w:val="center"/>
          </w:tcPr>
          <w:p>
            <w:pPr>
              <w:pStyle w:val="TableContents"/>
              <w:bidi w:val="0"/>
              <w:spacing w:before="0" w:after="0"/>
              <w:ind w:left="0" w:right="0" w:hanging="0"/>
              <w:jc w:val="left"/>
              <w:rPr/>
            </w:pPr>
            <w:r>
              <w:rPr/>
              <w:t> </w:t>
            </w:r>
          </w:p>
        </w:tc>
        <w:tc>
          <w:tcPr>
            <w:tcW w:w="92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31,914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3" w:type="dxa"/>
            <w:tcBorders/>
            <w:shd w:fill="FFFFFF" w:val="clear"/>
            <w:vAlign w:val="center"/>
          </w:tcPr>
          <w:p>
            <w:pPr>
              <w:pStyle w:val="TableContents"/>
              <w:bidi w:val="0"/>
              <w:spacing w:before="0" w:after="0"/>
              <w:ind w:left="0" w:right="0" w:hanging="0"/>
              <w:jc w:val="left"/>
              <w:rPr/>
            </w:pPr>
            <w:r>
              <w:rPr/>
              <w:t> </w:t>
            </w:r>
          </w:p>
        </w:tc>
        <w:tc>
          <w:tcPr>
            <w:tcW w:w="1215" w:type="dxa"/>
            <w:tcBorders/>
            <w:shd w:fill="FFFFFF" w:val="clear"/>
            <w:vAlign w:val="center"/>
          </w:tcPr>
          <w:p>
            <w:pPr>
              <w:pStyle w:val="TableContents"/>
              <w:bidi w:val="0"/>
              <w:spacing w:before="0" w:after="283"/>
              <w:jc w:val="right"/>
              <w:rPr>
                <w:rFonts w:ascii="Times New Roman;Times;serif" w:hAnsi="Times New Roman;Times;serif"/>
                <w:sz w:val="20"/>
              </w:rPr>
            </w:pPr>
            <w:r>
              <w:rPr>
                <w:rFonts w:ascii="Times New Roman;Times;serif" w:hAnsi="Times New Roman;Times;serif"/>
                <w:sz w:val="20"/>
              </w:rPr>
              <w:t>34,580</w:t>
            </w:r>
          </w:p>
        </w:tc>
        <w:tc>
          <w:tcPr>
            <w:tcW w:w="82" w:type="dxa"/>
            <w:tcBorders/>
            <w:shd w:fill="FFFFFF" w:val="clear"/>
            <w:vAlign w:val="center"/>
          </w:tcPr>
          <w:p>
            <w:pPr>
              <w:pStyle w:val="TableContents"/>
              <w:bidi w:val="0"/>
              <w:spacing w:before="0" w:after="0"/>
              <w:ind w:left="0" w:right="0" w:hanging="0"/>
              <w:jc w:val="left"/>
              <w:rPr/>
            </w:pPr>
            <w:r>
              <w:rPr/>
              <w:t> </w:t>
            </w:r>
          </w:p>
        </w:tc>
      </w:tr>
      <w:tr>
        <w:trPr/>
        <w:tc>
          <w:tcPr>
            <w:tcW w:w="7373" w:type="dxa"/>
            <w:tcBorders/>
            <w:shd w:fill="CCEE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Less: Short term and current portion of long-term debt</w:t>
            </w:r>
          </w:p>
        </w:tc>
        <w:tc>
          <w:tcPr>
            <w:tcW w:w="60" w:type="dxa"/>
            <w:tcBorders/>
            <w:shd w:fill="CCEEFF" w:val="clear"/>
            <w:vAlign w:val="center"/>
          </w:tcPr>
          <w:p>
            <w:pPr>
              <w:pStyle w:val="TableContents"/>
              <w:bidi w:val="0"/>
              <w:spacing w:before="0" w:after="0"/>
              <w:ind w:left="0" w:right="0" w:hanging="0"/>
              <w:jc w:val="left"/>
              <w:rPr/>
            </w:pPr>
            <w:r>
              <w:rPr/>
              <w:t> </w:t>
            </w:r>
          </w:p>
        </w:tc>
        <w:tc>
          <w:tcPr>
            <w:tcW w:w="17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2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21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(30,846</w:t>
            </w:r>
          </w:p>
        </w:tc>
        <w:tc>
          <w:tcPr>
            <w:tcW w:w="8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373" w:type="dxa"/>
            <w:tcBorders/>
            <w:shd w:fill="FFFFFF" w:val="cle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Long-term debt, net (non-current)</w:t>
            </w:r>
          </w:p>
        </w:tc>
        <w:tc>
          <w:tcPr>
            <w:tcW w:w="60" w:type="dxa"/>
            <w:tcBorders/>
            <w:shd w:fill="FFFFFF" w:val="clear"/>
            <w:vAlign w:val="center"/>
          </w:tcPr>
          <w:p>
            <w:pPr>
              <w:pStyle w:val="TableContents"/>
              <w:bidi w:val="0"/>
              <w:spacing w:before="0" w:after="0"/>
              <w:ind w:left="0" w:right="0" w:hanging="0"/>
              <w:jc w:val="left"/>
              <w:rPr/>
            </w:pPr>
            <w:r>
              <w:rPr/>
              <w:t> </w:t>
            </w:r>
          </w:p>
        </w:tc>
        <w:tc>
          <w:tcPr>
            <w:tcW w:w="177"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92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5,155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w:t>
            </w:r>
          </w:p>
        </w:tc>
        <w:tc>
          <w:tcPr>
            <w:tcW w:w="121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Times;serif" w:hAnsi="Times New Roman;Times;serif"/>
                <w:sz w:val="20"/>
              </w:rPr>
            </w:pPr>
            <w:r>
              <w:rPr>
                <w:rFonts w:ascii="Times New Roman;Times;serif" w:hAnsi="Times New Roman;Times;serif"/>
                <w:sz w:val="20"/>
              </w:rPr>
              <w:t>3,734</w:t>
            </w:r>
          </w:p>
        </w:tc>
        <w:tc>
          <w:tcPr>
            <w:tcW w:w="82"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b/>
          <w:i/>
          <w:sz w:val="20"/>
        </w:rPr>
        <w:t>Accounts Receivable Finance Agreement </w:t>
      </w:r>
      <w:r>
        <w:rPr>
          <w:rFonts w:ascii="Times New Roman" w:hAnsi="Times New Roman"/>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25, 2025, </w:t>
      </w:r>
      <w:r>
        <w:rPr>
          <w:rFonts w:ascii="Times New Roman" w:hAnsi="Times New Roman"/>
          <w:caps w:val="false"/>
          <w:smallCaps w:val="false"/>
          <w:sz w:val="20"/>
        </w:rPr>
        <w:t>the Company and its affiliates Fluent, LLC, Fluent Media Labs, LLC and AdParlor, LLC, each a wholly owned subsidiary of the Company, entered into an Accounts Receivable Finance Agreement (the "Financing Agreement") with CSNK Working Capital Finance Corp. d/b/a Bay View Funding ("Bay View"), a portion of the net proceeds of which were used to repay and terminate the SLR Credit Facility (as defined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Under the Financing Agreement, Bay View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extend financing to the Company based on eligible domestic and foreign accounts receivable, provided that the aggregate amount of advances thereon shall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 the lesser of a maximum credit of $30,000  (the "Maximum Credit") or an amount equal to the sum of all advances less any funds received by Bay View pursuant to the Financing Agreement over the collection amounts adjusted for obligation that is maintained in a reserve account. All collections of the financed receivables go directly to Bay View and are applied to the Company’s obligations under the Financing Agreement.  The transfer of the receivables was recorded as secured borrowings in accordance with ASC </w:t>
      </w:r>
      <w:r>
        <w:rPr>
          <w:rStyle w:val="Emphasis"/>
          <w:rFonts w:ascii="Times New Roman" w:hAnsi="Times New Roman"/>
          <w:caps w:val="false"/>
          <w:smallCaps w:val="false"/>
          <w:sz w:val="20"/>
        </w:rPr>
        <w:t>860,</w:t>
      </w:r>
      <w:r>
        <w:rPr>
          <w:rFonts w:ascii="Times New Roman" w:hAnsi="Times New Roman"/>
          <w:caps w:val="false"/>
          <w:smallCaps w:val="false"/>
          <w:sz w:val="20"/>
        </w:rPr>
        <w:t xml:space="preserve"> Transfers and Servicing (“ASC </w:t>
      </w:r>
      <w:r>
        <w:rPr>
          <w:rStyle w:val="Emphasis"/>
          <w:rFonts w:ascii="Times New Roman" w:hAnsi="Times New Roman"/>
          <w:caps w:val="false"/>
          <w:smallCaps w:val="false"/>
          <w:sz w:val="20"/>
        </w:rPr>
        <w:t>860”</w:t>
      </w:r>
      <w:r>
        <w:rPr>
          <w:rFonts w:ascii="Times New Roman" w:hAnsi="Times New Roman"/>
          <w:caps w:val="false"/>
          <w:smallCaps w:val="false"/>
          <w:sz w:val="20"/>
        </w:rPr>
        <w:t>), with the receivables remaining on the balance sheet as a current asset.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Financing Agreement had a balance of $27,526, which was recorded within current liabilities as the underlying receivables are typically due within </w:t>
      </w:r>
      <w:r>
        <w:rPr>
          <w:rStyle w:val="Emphasis"/>
          <w:rFonts w:ascii="Times New Roman" w:hAnsi="Times New Roman"/>
          <w:caps w:val="false"/>
          <w:smallCaps w:val="false"/>
          <w:sz w:val="20"/>
        </w:rPr>
        <w:t>120</w:t>
      </w:r>
      <w:r>
        <w:rPr>
          <w:rFonts w:ascii="Times New Roman" w:hAnsi="Times New Roman"/>
          <w:caps w:val="false"/>
          <w:smallCaps w:val="false"/>
          <w:sz w:val="20"/>
        </w:rPr>
        <w:t xml:space="preserve"> days and Bay View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require repayment of amounts outstanding beyond that period. In addition, the Company had $159 in its reserve accounts with Bay View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which was recorded within prepaids and other current assets. The net unused advance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was $2,633.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Financing Agreement has an initial term of 36 months (the "Initial Term") and renews automatically for additional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-month periods unless terminated in accordance with its terms. The Company is required to pay a facility fee in the amount of 0.50% of the Maximum Credit as of </w:t>
      </w:r>
      <w:r>
        <w:rPr>
          <w:rStyle w:val="Emphasis"/>
          <w:rFonts w:ascii="Times New Roman" w:hAnsi="Times New Roman"/>
          <w:caps w:val="false"/>
          <w:smallCaps w:val="false"/>
          <w:sz w:val="20"/>
        </w:rPr>
        <w:t xml:space="preserve">November 25, 2025 </w:t>
      </w:r>
      <w:r>
        <w:rPr>
          <w:rFonts w:ascii="Times New Roman" w:hAnsi="Times New Roman"/>
          <w:caps w:val="false"/>
          <w:smallCaps w:val="false"/>
          <w:sz w:val="20"/>
        </w:rPr>
        <w:t xml:space="preserve">and then annually a 0.33% of the Maximum Credit as well as a finance charge based on prime plus 2.0% based on the average balance outstanding during the month. In addition, the Company will be required to pay certain administrative fees. The finance rate shall increase or decrease monthly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be less than 8.75% for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year from the initial funding date, 8.50% for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year of the Initial Term and 8.25% for the </w:t>
      </w:r>
      <w:r>
        <w:rPr>
          <w:rStyle w:val="Emphasis"/>
          <w:rFonts w:ascii="Times New Roman" w:hAnsi="Times New Roman"/>
          <w:caps w:val="false"/>
          <w:smallCaps w:val="false"/>
          <w:sz w:val="20"/>
        </w:rPr>
        <w:t>third</w:t>
      </w:r>
      <w:r>
        <w:rPr>
          <w:rFonts w:ascii="Times New Roman" w:hAnsi="Times New Roman"/>
          <w:caps w:val="false"/>
          <w:smallCaps w:val="false"/>
          <w:sz w:val="20"/>
        </w:rPr>
        <w:t xml:space="preserve"> year of the Initial Term.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the annual finance charge rate was 11.75%, which includes the management fee of 3.0% applied on the end of month average outstanding balance.  The total cost of the Financing Agreement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was $1,273, inclusive of the management fee, and was included in interest expense on the consolidated statements of operations under the effective interest method. In addition, amortization of the debt discount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was $159, and was included in interest expense on the consolidated statements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obligations under the Financing Agreement are secured by a security interest in substantially all of the Company’s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Financing Agreement contains customary representations, warranties, covenants and events of default, including repurchase obligations with respect to certain receivables.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Credit Facility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April 2,</w:t>
      </w:r>
      <w:r>
        <w:rPr>
          <w:rFonts w:ascii="Times New Roman" w:hAnsi="Times New Roman"/>
          <w:caps w:val="false"/>
          <w:smallCaps w:val="false"/>
          <w:sz w:val="20"/>
        </w:rPr>
        <w:t xml:space="preserve"> </w:t>
      </w:r>
      <w:r>
        <w:rPr>
          <w:rStyle w:val="Emphasis"/>
          <w:rFonts w:ascii="Times New Roman" w:hAnsi="Times New Roman"/>
          <w:caps w:val="false"/>
          <w:smallCaps w:val="false"/>
          <w:sz w:val="20"/>
        </w:rPr>
        <w:t>2024,</w:t>
      </w:r>
      <w:r>
        <w:rPr>
          <w:rFonts w:ascii="Times New Roman" w:hAnsi="Times New Roman"/>
          <w:caps w:val="false"/>
          <w:smallCaps w:val="false"/>
          <w:sz w:val="20"/>
        </w:rPr>
        <w:t xml:space="preserve"> Fluent, LLC, a wholly owned subsidiary of the Company (the "Borrower"), entered into a credit agreement (as amended, the "SLR Credit Agreement") with certain of its subsidiaries and the Company, as guarantors, and Crystal Financial LLC d/b/a SLR Credit Solutions, as administrative agent, lead arranger and bookrunner ("SLR"), and each other lender from time to time party thereto.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SLR Credit Agreement provided for a $20,000 term loan (the "SLR Term Loan") and a revolving credit facility of up to $30,000 (the "SLR Revolver," and, together with the SLR Term Loan, the "SLR Credit Facility"). On </w:t>
      </w:r>
      <w:r>
        <w:rPr>
          <w:rStyle w:val="Emphasis"/>
          <w:rFonts w:ascii="Times New Roman" w:hAnsi="Times New Roman"/>
          <w:caps w:val="false"/>
          <w:smallCaps w:val="false"/>
          <w:sz w:val="20"/>
        </w:rPr>
        <w:t xml:space="preserve">November 26, 2025, </w:t>
      </w:r>
      <w:r>
        <w:rPr>
          <w:rFonts w:ascii="Times New Roman" w:hAnsi="Times New Roman"/>
          <w:caps w:val="false"/>
          <w:smallCaps w:val="false"/>
          <w:sz w:val="20"/>
        </w:rPr>
        <w:t>the SLR Credit Facility had been repaid, prior to maturity, resulting in a debt extinguishment loss of approximately $3,759, which included the $1,000 early termination fee.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Note Payable</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March 17, 2024, </w:t>
      </w:r>
      <w:r>
        <w:rPr>
          <w:rFonts w:ascii="Times New Roman" w:hAnsi="Times New Roman"/>
          <w:caps w:val="false"/>
          <w:smallCaps w:val="false"/>
          <w:sz w:val="20"/>
        </w:rPr>
        <w:t xml:space="preserve">Fluent, LLC entered into a junior secured promissory note (the "Note Payable") with Freedom Debt Relief, LLC ("FDR") in the principal amount of $2,000. The Note Payable bore interest equal to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-month CME Term SOFR (defined as the rate published by the CME Group Benchmark Administration Limited) plus 11.0% per annum, compounded quarterly. The opening interest rate of the Note Payable was 16.32% (SOFR + 11%). On </w:t>
      </w:r>
      <w:r>
        <w:rPr>
          <w:rStyle w:val="Emphasis"/>
          <w:rFonts w:ascii="Times New Roman" w:hAnsi="Times New Roman"/>
          <w:caps w:val="false"/>
          <w:smallCaps w:val="false"/>
          <w:sz w:val="20"/>
        </w:rPr>
        <w:t xml:space="preserve">April 8, 2026, </w:t>
      </w:r>
      <w:r>
        <w:rPr>
          <w:rFonts w:ascii="Times New Roman" w:hAnsi="Times New Roman"/>
          <w:caps w:val="false"/>
          <w:smallCaps w:val="false"/>
          <w:sz w:val="20"/>
        </w:rPr>
        <w:t>the final payment was made on the Note Payable.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Convertible Notes with related parties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On </w:t>
      </w:r>
      <w:r>
        <w:rPr>
          <w:rStyle w:val="Emphasis"/>
          <w:rFonts w:ascii="Times New Roman" w:hAnsi="Times New Roman"/>
          <w:caps w:val="false"/>
          <w:smallCaps w:val="false"/>
          <w:sz w:val="20"/>
        </w:rPr>
        <w:t xml:space="preserve"> August 19, 2024, </w:t>
      </w:r>
      <w:r>
        <w:rPr>
          <w:rFonts w:ascii="Times New Roman" w:hAnsi="Times New Roman"/>
          <w:caps w:val="false"/>
          <w:smallCaps w:val="false"/>
          <w:sz w:val="20"/>
        </w:rPr>
        <w:t xml:space="preserve">the Company entered into a securities purchase agreement (the "Notes Purchase Agreement") with certain of the Company's officers and directors and the largest stockholder to sell convertible subordinated promissory notes (the "Convertible Notes") in aggregate principal amount of $2,050. The Convertible Notes mature on </w:t>
      </w:r>
      <w:r>
        <w:rPr>
          <w:rStyle w:val="Emphasis"/>
          <w:rFonts w:ascii="Times New Roman" w:hAnsi="Times New Roman"/>
          <w:caps w:val="false"/>
          <w:smallCaps w:val="false"/>
          <w:sz w:val="20"/>
        </w:rPr>
        <w:t>April 2, 2029, </w:t>
      </w:r>
      <w:r>
        <w:rPr>
          <w:rFonts w:ascii="Times New Roman" w:hAnsi="Times New Roman"/>
          <w:caps w:val="false"/>
          <w:smallCaps w:val="false"/>
          <w:sz w:val="20"/>
        </w:rPr>
        <w:t>and bear interest at 13% per annum payable quarterly. Subject to certain payment conditions in the Subordination Agreements (as defined below), the Company </w:t>
      </w:r>
      <w:r>
        <w:rPr>
          <w:rStyle w:val="Emphasis"/>
          <w:rFonts w:ascii="Times New Roman" w:hAnsi="Times New Roman"/>
          <w:caps w:val="false"/>
          <w:smallCaps w:val="false"/>
          <w:sz w:val="20"/>
        </w:rPr>
        <w:t xml:space="preserve"> may </w:t>
      </w:r>
      <w:r>
        <w:rPr>
          <w:rFonts w:ascii="Times New Roman" w:hAnsi="Times New Roman"/>
          <w:caps w:val="false"/>
          <w:smallCaps w:val="false"/>
          <w:sz w:val="20"/>
        </w:rPr>
        <w:t>pay interest quarterly in kind or in cash beginning </w:t>
      </w:r>
      <w:r>
        <w:rPr>
          <w:rStyle w:val="Emphasis"/>
          <w:rFonts w:ascii="Times New Roman" w:hAnsi="Times New Roman"/>
          <w:caps w:val="false"/>
          <w:smallCaps w:val="false"/>
          <w:sz w:val="20"/>
        </w:rPr>
        <w:t xml:space="preserve"> December 31, 2024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may </w:t>
      </w:r>
      <w:r>
        <w:rPr>
          <w:rFonts w:ascii="Times New Roman" w:hAnsi="Times New Roman"/>
          <w:caps w:val="false"/>
          <w:smallCaps w:val="false"/>
          <w:sz w:val="20"/>
        </w:rPr>
        <w:t>prepay the Convertible Notes in whole or in part at any time upon </w:t>
      </w:r>
      <w:r>
        <w:rPr>
          <w:rStyle w:val="Emphasis"/>
          <w:rFonts w:ascii="Times New Roman" w:hAnsi="Times New Roman"/>
          <w:caps w:val="false"/>
          <w:smallCaps w:val="false"/>
          <w:sz w:val="20"/>
        </w:rPr>
        <w:t>ten</w:t>
      </w:r>
      <w:r>
        <w:rPr>
          <w:rFonts w:ascii="Times New Roman" w:hAnsi="Times New Roman"/>
          <w:caps w:val="false"/>
          <w:smallCaps w:val="false"/>
          <w:sz w:val="20"/>
        </w:rPr>
        <w:t> days’ written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Each holder of a Convertible Note is entitled to convert the Conversion Amount (as defined below) into shares of the Company's common stock at a conversion price equal to the lesser of (i) $3.01, and (ii) the greater of (A) the consolidated closing bid price of the Company's common stock as reported on Nasdaq on the applicable conversion date and (B) $1.00, in each case subject to adjustments for stock splits, recapitalizations and the like. The “Conversion Amount” is the sum of all or any portion of the outstanding principal amount of the Convertible Note, as designated by the holder upon exercise of its right of conversion, plus all accrued and unpaid interest. The Convertible Notes were subject to additional limits on conversion until stockholder approval was obtained on </w:t>
      </w:r>
      <w:r>
        <w:rPr>
          <w:rStyle w:val="Emphasis"/>
          <w:rFonts w:ascii="Times New Roman" w:hAnsi="Times New Roman"/>
          <w:caps w:val="false"/>
          <w:smallCaps w:val="false"/>
          <w:sz w:val="20"/>
        </w:rPr>
        <w:t>June 18,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In connection with the Second Amendment and the Notes Purchase Agreement, the Company and SLR entered into a Subordination Agreement with each purchaser of the Convertible Notes on </w:t>
      </w:r>
      <w:r>
        <w:rPr>
          <w:rStyle w:val="Emphasis"/>
          <w:rFonts w:ascii="Times New Roman" w:hAnsi="Times New Roman"/>
          <w:caps w:val="false"/>
          <w:smallCaps w:val="false"/>
          <w:sz w:val="20"/>
        </w:rPr>
        <w:t xml:space="preserve"> August 19, 2024 (</w:t>
      </w:r>
      <w:r>
        <w:rPr>
          <w:rFonts w:ascii="Times New Roman" w:hAnsi="Times New Roman"/>
          <w:caps w:val="false"/>
          <w:smallCaps w:val="false"/>
          <w:sz w:val="20"/>
        </w:rPr>
        <w:t xml:space="preserve">the "Subordination Agreements"). The Subordination Agreements confirmed the subordinated nature of the Convertible Notes and restricted payments to and remedies of the holders of the Convertible Notes for so long as the SLR Credit Agreement had indebtedness outstanding. The Subordination Agreements provided that the Company </w:t>
      </w:r>
      <w:r>
        <w:rPr>
          <w:rStyle w:val="Emphasis"/>
          <w:rFonts w:ascii="Times New Roman" w:hAnsi="Times New Roman"/>
          <w:caps w:val="false"/>
          <w:smallCaps w:val="false"/>
          <w:sz w:val="20"/>
        </w:rPr>
        <w:t>may not</w:t>
      </w:r>
      <w:r>
        <w:rPr>
          <w:rFonts w:ascii="Times New Roman" w:hAnsi="Times New Roman"/>
          <w:caps w:val="false"/>
          <w:smallCaps w:val="false"/>
          <w:sz w:val="20"/>
        </w:rPr>
        <w:t> make any payment of principal or interest on the Convertible Notes unless certain conditions are met. Following the refinancing of the SLR Credit Agreement with the Bay View facility, the Convertible Notes remain subordinated to the Company's obligations under the Bay View credit facility.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The Convertible Notes are accounted for at fair value under the fair value option ("FVO") in accordance with ASC </w:t>
      </w:r>
      <w:r>
        <w:rPr>
          <w:rStyle w:val="Emphasis"/>
          <w:rFonts w:ascii="Times New Roman" w:hAnsi="Times New Roman"/>
          <w:caps w:val="false"/>
          <w:smallCaps w:val="false"/>
          <w:sz w:val="20"/>
        </w:rPr>
        <w:t>825</w:t>
      </w:r>
      <w:r>
        <w:rPr>
          <w:rFonts w:ascii="Times New Roman" w:hAnsi="Times New Roman"/>
          <w:i/>
          <w:caps w:val="false"/>
          <w:smallCaps w:val="false"/>
          <w:sz w:val="20"/>
        </w:rPr>
        <w:t>,</w:t>
      </w:r>
      <w:r>
        <w:rPr>
          <w:rFonts w:ascii="Times New Roman" w:hAnsi="Times New Roman"/>
          <w:caps w:val="false"/>
          <w:smallCaps w:val="false"/>
          <w:sz w:val="20"/>
        </w:rPr>
        <w:t> </w:t>
      </w:r>
      <w:r>
        <w:rPr>
          <w:rFonts w:ascii="Times New Roman" w:hAnsi="Times New Roman"/>
          <w:i/>
          <w:caps w:val="false"/>
          <w:smallCaps w:val="false"/>
          <w:sz w:val="20"/>
        </w:rPr>
        <w:t>Financial Instruments </w:t>
      </w:r>
      <w:r>
        <w:rPr>
          <w:rFonts w:ascii="Times New Roman" w:hAnsi="Times New Roman"/>
          <w:caps w:val="false"/>
          <w:smallCaps w:val="false"/>
          <w:sz w:val="20"/>
        </w:rPr>
        <w:t>("ASC </w:t>
      </w:r>
      <w:r>
        <w:rPr>
          <w:rStyle w:val="Emphasis"/>
          <w:rFonts w:ascii="Times New Roman" w:hAnsi="Times New Roman"/>
          <w:caps w:val="false"/>
          <w:smallCaps w:val="false"/>
          <w:sz w:val="20"/>
        </w:rPr>
        <w:t>825"</w:t>
      </w:r>
      <w:r>
        <w:rPr>
          <w:rFonts w:ascii="Times New Roman" w:hAnsi="Times New Roman"/>
          <w:caps w:val="false"/>
          <w:smallCaps w:val="false"/>
          <w:sz w:val="20"/>
        </w:rPr>
        <w:t>). ASC </w:t>
      </w:r>
      <w:r>
        <w:rPr>
          <w:rStyle w:val="Emphasis"/>
          <w:rFonts w:ascii="Times New Roman" w:hAnsi="Times New Roman"/>
          <w:caps w:val="false"/>
          <w:smallCaps w:val="false"/>
          <w:sz w:val="20"/>
        </w:rPr>
        <w:t>825</w:t>
      </w:r>
      <w:r>
        <w:rPr>
          <w:rFonts w:ascii="Times New Roman" w:hAnsi="Times New Roman"/>
          <w:caps w:val="false"/>
          <w:smallCaps w:val="false"/>
          <w:sz w:val="20"/>
        </w:rPr>
        <w:t xml:space="preserve"> permits the FVO election for debt host financial instruments containing embedded features which would otherwise be required to be bifurcated from the debt-host and recognized as separate derivative liabilities subject to initial and subsequent periodic estimated fair value measurements under ASC </w:t>
      </w:r>
      <w:r>
        <w:rPr>
          <w:rStyle w:val="Emphasis"/>
          <w:rFonts w:ascii="Times New Roman" w:hAnsi="Times New Roman"/>
          <w:caps w:val="false"/>
          <w:smallCaps w:val="false"/>
          <w:sz w:val="20"/>
        </w:rPr>
        <w:t>815.</w:t>
      </w:r>
      <w:r>
        <w:rPr>
          <w:rFonts w:ascii="Times New Roman" w:hAnsi="Times New Roman"/>
          <w:caps w:val="false"/>
          <w:smallCaps w:val="false"/>
          <w:sz w:val="20"/>
        </w:rPr>
        <w:t> Notwithstanding, ASC </w:t>
      </w:r>
      <w:r>
        <w:rPr>
          <w:rStyle w:val="Emphasis"/>
          <w:rFonts w:ascii="Times New Roman" w:hAnsi="Times New Roman"/>
          <w:caps w:val="false"/>
          <w:smallCaps w:val="false"/>
          <w:sz w:val="20"/>
        </w:rPr>
        <w:t>825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w:t>
      </w:r>
      <w:r>
        <w:rPr>
          <w:rStyle w:val="Emphasis"/>
          <w:rFonts w:ascii="Times New Roman" w:hAnsi="Times New Roman"/>
          <w:caps w:val="false"/>
          <w:smallCaps w:val="false"/>
          <w:sz w:val="20"/>
        </w:rPr>
        <w:t>4</w:t>
      </w:r>
      <w:r>
        <w:rPr>
          <w:rFonts w:ascii="Times New Roman" w:hAnsi="Times New Roman"/>
          <w:caps w:val="false"/>
          <w:smallCaps w:val="false"/>
          <w:sz w:val="20"/>
        </w:rPr>
        <w:t> provides for the FVO election, to the extent </w:t>
      </w:r>
      <w:r>
        <w:rPr>
          <w:rStyle w:val="Emphasis"/>
          <w:rFonts w:ascii="Times New Roman" w:hAnsi="Times New Roman"/>
          <w:caps w:val="false"/>
          <w:smallCaps w:val="false"/>
          <w:sz w:val="20"/>
        </w:rPr>
        <w:t>not</w:t>
      </w:r>
      <w:r>
        <w:rPr>
          <w:rFonts w:ascii="Times New Roman" w:hAnsi="Times New Roman"/>
          <w:caps w:val="false"/>
          <w:smallCaps w:val="false"/>
          <w:sz w:val="20"/>
        </w:rPr>
        <w:t> otherwise prohibited by ASC </w:t>
      </w:r>
      <w:r>
        <w:rPr>
          <w:rStyle w:val="Emphasis"/>
          <w:rFonts w:ascii="Times New Roman" w:hAnsi="Times New Roman"/>
          <w:caps w:val="false"/>
          <w:smallCaps w:val="false"/>
          <w:sz w:val="20"/>
        </w:rPr>
        <w:t>825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15</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to be afforded to financial instruments, wherein bifurcation of an embedded derivative is </w:t>
      </w:r>
      <w:r>
        <w:rPr>
          <w:rStyle w:val="Emphasis"/>
          <w:rFonts w:ascii="Times New Roman" w:hAnsi="Times New Roman"/>
          <w:caps w:val="false"/>
          <w:smallCaps w:val="false"/>
          <w:sz w:val="20"/>
        </w:rPr>
        <w:t>not</w:t>
      </w:r>
      <w:r>
        <w:rPr>
          <w:rFonts w:ascii="Times New Roman" w:hAnsi="Times New Roman"/>
          <w:caps w:val="false"/>
          <w:smallCaps w:val="false"/>
          <w:sz w:val="20"/>
        </w:rPr>
        <w:t> necessary, and the financial instrument is initially measured at its issue-date estimated fair value and then subsequently remeasured at estimated fair value on a recurring basis at each reporting period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Within ASC </w:t>
      </w:r>
      <w:r>
        <w:rPr>
          <w:rStyle w:val="Emphasis"/>
          <w:rFonts w:ascii="Times New Roman" w:hAnsi="Times New Roman"/>
          <w:caps w:val="false"/>
          <w:smallCaps w:val="false"/>
          <w:sz w:val="20"/>
        </w:rPr>
        <w:t>825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45</w:t>
      </w:r>
      <w:r>
        <w:rPr>
          <w:rFonts w:ascii="Times New Roman" w:hAnsi="Times New Roman"/>
          <w:caps w:val="false"/>
          <w:smallCaps w:val="false"/>
          <w:sz w:val="20"/>
        </w:rPr>
        <w:t>-</w:t>
      </w:r>
      <w:r>
        <w:rPr>
          <w:rStyle w:val="Emphasis"/>
          <w:rFonts w:ascii="Times New Roman" w:hAnsi="Times New Roman"/>
          <w:caps w:val="false"/>
          <w:smallCaps w:val="false"/>
          <w:sz w:val="20"/>
        </w:rPr>
        <w:t>5,</w:t>
      </w:r>
      <w:r>
        <w:rPr>
          <w:rFonts w:ascii="Times New Roman" w:hAnsi="Times New Roman"/>
          <w:caps w:val="false"/>
          <w:smallCaps w:val="false"/>
          <w:sz w:val="20"/>
        </w:rPr>
        <w:t> the estimated fair value adjustments are recognized as a component of other comprehensive income with respect to the portion of the fair value adjustment attributed to a change in the instrument-specific credit risk, with the remaining amount of the fair value adjustment recognized as other income (expense) within the consolidated statement of operations. As then provided by ASC </w:t>
      </w:r>
      <w:r>
        <w:rPr>
          <w:rStyle w:val="Emphasis"/>
          <w:rFonts w:ascii="Times New Roman" w:hAnsi="Times New Roman"/>
          <w:caps w:val="false"/>
          <w:smallCaps w:val="false"/>
          <w:sz w:val="20"/>
        </w:rPr>
        <w:t>825</w:t>
      </w:r>
      <w:r>
        <w:rPr>
          <w:rFonts w:ascii="Times New Roman" w:hAnsi="Times New Roman"/>
          <w:caps w:val="false"/>
          <w:smallCaps w:val="false"/>
          <w:sz w:val="20"/>
        </w:rPr>
        <w:t>-</w:t>
      </w:r>
      <w:r>
        <w:rPr>
          <w:rStyle w:val="Emphasis"/>
          <w:rFonts w:ascii="Times New Roman" w:hAnsi="Times New Roman"/>
          <w:caps w:val="false"/>
          <w:smallCaps w:val="false"/>
          <w:sz w:val="20"/>
        </w:rPr>
        <w:t>10</w:t>
      </w:r>
      <w:r>
        <w:rPr>
          <w:rFonts w:ascii="Times New Roman" w:hAnsi="Times New Roman"/>
          <w:caps w:val="false"/>
          <w:smallCaps w:val="false"/>
          <w:sz w:val="20"/>
        </w:rPr>
        <w:t>-</w:t>
      </w:r>
      <w:r>
        <w:rPr>
          <w:rStyle w:val="Emphasis"/>
          <w:rFonts w:ascii="Times New Roman" w:hAnsi="Times New Roman"/>
          <w:caps w:val="false"/>
          <w:smallCaps w:val="false"/>
          <w:sz w:val="20"/>
        </w:rPr>
        <w:t>50</w:t>
      </w:r>
      <w:r>
        <w:rPr>
          <w:rFonts w:ascii="Times New Roman" w:hAnsi="Times New Roman"/>
          <w:caps w:val="false"/>
          <w:smallCaps w:val="false"/>
          <w:sz w:val="20"/>
        </w:rPr>
        <w:t>-</w:t>
      </w:r>
      <w:r>
        <w:rPr>
          <w:rStyle w:val="Emphasis"/>
          <w:rFonts w:ascii="Times New Roman" w:hAnsi="Times New Roman"/>
          <w:caps w:val="false"/>
          <w:smallCaps w:val="false"/>
          <w:sz w:val="20"/>
        </w:rPr>
        <w:t>30</w:t>
      </w:r>
      <w:r>
        <w:rPr>
          <w:rFonts w:ascii="Times New Roman" w:hAnsi="Times New Roman"/>
          <w:caps w:val="false"/>
          <w:smallCaps w:val="false"/>
          <w:sz w:val="20"/>
        </w:rPr>
        <w:t>(b), the estimated fair value adjustment is presented in a respective single line item within other income (expense) in the consolidated statements of operations, as the Company concluded that the change in fair value of the Convertible Notes was </w:t>
      </w:r>
      <w:r>
        <w:rPr>
          <w:rStyle w:val="Emphasis"/>
          <w:rFonts w:ascii="Times New Roman" w:hAnsi="Times New Roman"/>
          <w:caps w:val="false"/>
          <w:smallCaps w:val="false"/>
          <w:sz w:val="20"/>
        </w:rPr>
        <w:t>not</w:t>
      </w:r>
      <w:r>
        <w:rPr>
          <w:rFonts w:ascii="Times New Roman" w:hAnsi="Times New Roman"/>
          <w:caps w:val="false"/>
          <w:smallCaps w:val="false"/>
          <w:sz w:val="20"/>
        </w:rPr>
        <w:t> attributable to instrument-specific credit risk. The Company then elected to </w:t>
      </w:r>
      <w:r>
        <w:rPr>
          <w:rStyle w:val="Emphasis"/>
          <w:rFonts w:ascii="Times New Roman" w:hAnsi="Times New Roman"/>
          <w:caps w:val="false"/>
          <w:smallCaps w:val="false"/>
          <w:sz w:val="20"/>
        </w:rPr>
        <w:t>not</w:t>
      </w:r>
      <w:r>
        <w:rPr>
          <w:rFonts w:ascii="Times New Roman" w:hAnsi="Times New Roman"/>
          <w:caps w:val="false"/>
          <w:smallCaps w:val="false"/>
          <w:sz w:val="20"/>
        </w:rPr>
        <w:t> present the interest expense for the Convertible Notes separately.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The initial fair value was determined to be greater than the principal balance of the Convertible Notes. The transaction was entered into with certain of the Company's officers and directors and the largest stockholder and was required under the Second Amendment for liquidity needs. Further, the Company reviewed the valuation and determined it was appropriate, resulting in a day </w:t>
      </w:r>
      <w:r>
        <w:rPr>
          <w:rStyle w:val="Emphasis"/>
          <w:rFonts w:ascii="Times New Roman" w:hAnsi="Times New Roman"/>
          <w:caps w:val="false"/>
          <w:smallCaps w:val="false"/>
          <w:sz w:val="20"/>
        </w:rPr>
        <w:t>one</w:t>
      </w:r>
      <w:r>
        <w:rPr>
          <w:rFonts w:ascii="Times New Roman" w:hAnsi="Times New Roman"/>
          <w:caps w:val="false"/>
          <w:smallCaps w:val="false"/>
          <w:sz w:val="20"/>
        </w:rPr>
        <w:t> unrealized loss on the Convertible Notes of $2,110.</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principal balance of the Convertible Notes was $2,601, with a fair value of $5,155. The Company recognized an additional increase in fair value of $584 and $1,421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which was recognized in other income (expense) from operations. For the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June 30, 2026</w:t>
      </w:r>
      <w:r>
        <w:rPr>
          <w:rFonts w:ascii="Times New Roman" w:hAnsi="Times New Roman"/>
          <w:caps w:val="false"/>
          <w:smallCaps w:val="false"/>
          <w:sz w:val="20"/>
        </w:rPr>
        <w:t>, accrued interest was paid in kind.</w:t>
      </w:r>
    </w:p>
    <w:p>
      <w:pPr>
        <w:pStyle w:val="TextBody"/>
        <w:bidi w:val="0"/>
        <w:spacing w:before="0" w:after="0"/>
        <w:ind w:left="88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Maturities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June 30, 2026</w:t>
      </w:r>
      <w:r>
        <w:rPr>
          <w:rFonts w:ascii="Times New Roman;Times;serif" w:hAnsi="Times New Roman;Times;serif"/>
          <w:sz w:val="20"/>
        </w:rPr>
        <w:t>, scheduled future maturities of the outstanding debt are as follows:</w:t>
      </w:r>
    </w:p>
    <w:p>
      <w:pPr>
        <w:pStyle w:val="TextBody"/>
        <w:bidi w:val="0"/>
        <w:spacing w:before="0" w:after="0"/>
        <w:ind w:left="0" w:right="0" w:hanging="0"/>
        <w:jc w:val="left"/>
        <w:rPr/>
      </w:pPr>
      <w:r>
        <w:rPr/>
        <w:t> </w:t>
      </w:r>
    </w:p>
    <w:tbl>
      <w:tblPr>
        <w:tblW w:w="2889" w:type="dxa"/>
        <w:jc w:val="left"/>
        <w:tblInd w:w="0" w:type="dxa"/>
        <w:tblLayout w:type="fixed"/>
        <w:tblCellMar>
          <w:top w:w="0" w:type="dxa"/>
          <w:left w:w="0" w:type="dxa"/>
          <w:bottom w:w="0" w:type="dxa"/>
          <w:right w:w="0" w:type="dxa"/>
        </w:tblCellMar>
      </w:tblPr>
      <w:tblGrid>
        <w:gridCol w:w="1580"/>
        <w:gridCol w:w="60"/>
        <w:gridCol w:w="208"/>
        <w:gridCol w:w="981"/>
        <w:gridCol w:w="60"/>
      </w:tblGrid>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Year</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shd w:fill="FFFFFF" w:val="clear"/>
            <w:vAlign w:val="center"/>
          </w:tcPr>
          <w:p>
            <w:pPr>
              <w:pStyle w:val="TableContents"/>
              <w:bidi w:val="0"/>
              <w:spacing w:before="0" w:after="0"/>
              <w:ind w:left="0" w:right="0" w:hanging="0"/>
              <w:jc w:val="center"/>
              <w:rPr/>
            </w:pPr>
            <w:r>
              <w:rPr>
                <w:rStyle w:val="Emphasis"/>
                <w:rFonts w:ascii="Times New Roman;Times;serif" w:hAnsi="Times New Roman;Times;serif"/>
                <w:b/>
                <w:caps w:val="false"/>
                <w:smallCaps w:val="false"/>
                <w:sz w:val="20"/>
              </w:rPr>
              <w:t>June 30, 2026</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Remainder of 2026</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27,526</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shd w:fill="FFFFFF" w:val="clear"/>
            <w:vAlign w:val="center"/>
          </w:tcPr>
          <w:p>
            <w:pPr>
              <w:pStyle w:val="TableContents"/>
              <w:bidi w:val="0"/>
              <w:spacing w:before="0" w:after="0"/>
              <w:ind w:left="0" w:right="0" w:hanging="0"/>
              <w:jc w:val="left"/>
              <w:rPr/>
            </w:pPr>
            <w:r>
              <w:rPr/>
              <w:t> </w:t>
            </w:r>
          </w:p>
        </w:tc>
        <w:tc>
          <w:tcPr>
            <w:tcW w:w="981"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0"/>
              <w:ind w:left="0" w:right="0" w:hanging="0"/>
              <w:jc w:val="left"/>
              <w:rPr/>
            </w:pPr>
            <w:r>
              <w:rPr/>
              <w:t> </w:t>
            </w:r>
          </w:p>
        </w:tc>
        <w:tc>
          <w:tcPr>
            <w:tcW w:w="981"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5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0"/>
              <w:ind w:left="0" w:right="0" w:hanging="0"/>
              <w:jc w:val="left"/>
              <w:rPr/>
            </w:pPr>
            <w:r>
              <w:rPr/>
              <w:t> </w:t>
            </w:r>
          </w:p>
        </w:tc>
        <w:tc>
          <w:tcPr>
            <w:tcW w:w="208"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8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5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maturities</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30,127</w:t>
            </w:r>
          </w:p>
        </w:tc>
        <w:tc>
          <w:tcPr>
            <w:tcW w:w="60"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color w:val="000000"/>
          <w:sz w:val="20"/>
        </w:rPr>
        <w:t>5.</w:t>
      </w:r>
      <w:r>
        <w:rPr>
          <w:rFonts w:ascii="Times New Roman;Times;serif" w:hAnsi="Times New Roman;Times;serif"/>
          <w:color w:val="000000"/>
          <w:sz w:val="20"/>
        </w:rPr>
        <w:t> </w:t>
      </w:r>
      <w:r>
        <w:rPr>
          <w:rFonts w:ascii="Times New Roman;Times;serif" w:hAnsi="Times New Roman;Times;serif"/>
          <w:b/>
          <w:color w:val="000000"/>
          <w:sz w:val="20"/>
        </w:rPr>
        <w:t>Fair Value Measurements</w:t>
      </w:r>
      <w:r>
        <w:rPr>
          <w:rFonts w:ascii="Times New Roman;Times;serif" w:hAnsi="Times New Roman;Times;serif"/>
          <w:color w:val="000000"/>
          <w:sz w:val="20"/>
        </w:rPr>
        <w:t>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fair value of the Company's cash, cash equivalents, current restricted cash, accounts receivable, accounts payable, and accrued liabilities approximate their carrying values because of the short-term nature of these instruments. Restricted cash includes a separately maintained cash account, as required under the terms of a lease agreement the Company entered into on </w:t>
      </w:r>
      <w:r>
        <w:rPr>
          <w:rStyle w:val="Emphasis"/>
          <w:rFonts w:ascii="Times New Roman;Times;serif" w:hAnsi="Times New Roman;Times;serif"/>
          <w:sz w:val="20"/>
        </w:rPr>
        <w:t xml:space="preserve"> October 10, 2018 </w:t>
      </w:r>
      <w:r>
        <w:rPr>
          <w:rFonts w:ascii="Times New Roman;Times;serif" w:hAnsi="Times New Roman;Times;serif"/>
          <w:sz w:val="20"/>
        </w:rPr>
        <w:t>for office space in New York City. On </w:t>
      </w:r>
      <w:r>
        <w:rPr>
          <w:rStyle w:val="Emphasis"/>
          <w:rFonts w:ascii="Times New Roman;Times;serif" w:hAnsi="Times New Roman;Times;serif"/>
          <w:sz w:val="20"/>
        </w:rPr>
        <w:t xml:space="preserve"> April 15, 2025, </w:t>
      </w:r>
      <w:r>
        <w:rPr>
          <w:rFonts w:ascii="Times New Roman;Times;serif" w:hAnsi="Times New Roman;Times;serif"/>
          <w:sz w:val="20"/>
        </w:rPr>
        <w:t xml:space="preserve">the Company received the landlord’s consent for the </w:t>
      </w:r>
      <w:r>
        <w:rPr>
          <w:rStyle w:val="Emphasis"/>
          <w:rFonts w:ascii="Times New Roman;Times;serif" w:hAnsi="Times New Roman;Times;serif"/>
          <w:sz w:val="20"/>
        </w:rPr>
        <w:t>second</w:t>
      </w:r>
      <w:r>
        <w:rPr>
          <w:rFonts w:ascii="Times New Roman;Times;serif" w:hAnsi="Times New Roman;Times;serif"/>
          <w:sz w:val="20"/>
        </w:rPr>
        <w:t xml:space="preserve"> amendment to its sublease, which reduced the subleased premises and payments, effective </w:t>
      </w:r>
      <w:r>
        <w:rPr>
          <w:rStyle w:val="Emphasis"/>
          <w:rFonts w:ascii="Times New Roman;Times;serif" w:hAnsi="Times New Roman;Times;serif"/>
          <w:sz w:val="20"/>
        </w:rPr>
        <w:t xml:space="preserve">March 19, 2025. </w:t>
      </w:r>
      <w:r>
        <w:rPr>
          <w:rFonts w:ascii="Times New Roman;Times;serif" w:hAnsi="Times New Roman;Times;serif"/>
          <w:sz w:val="20"/>
        </w:rPr>
        <w:t xml:space="preserve">The consent also approved the extension of the sublease term by four years, effective </w:t>
      </w:r>
      <w:r>
        <w:rPr>
          <w:rStyle w:val="Emphasis"/>
          <w:rFonts w:ascii="Times New Roman;Times;serif" w:hAnsi="Times New Roman;Times;serif"/>
          <w:sz w:val="20"/>
        </w:rPr>
        <w:t xml:space="preserve">April 15, 2025. </w:t>
      </w:r>
      <w:r>
        <w:rPr>
          <w:rFonts w:ascii="Times New Roman;Times;serif" w:hAnsi="Times New Roman;Times;serif"/>
          <w:sz w:val="20"/>
        </w:rPr>
        <w:t>In connection with this lease agreement, the Company recorded $710 and $710 in non-current restricted cash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and </w:t>
      </w:r>
      <w:r>
        <w:rPr>
          <w:rStyle w:val="Emphasis"/>
          <w:rFonts w:ascii="Times New Roman;Times;serif" w:hAnsi="Times New Roman;Times;serif"/>
          <w:sz w:val="20"/>
        </w:rPr>
        <w:t xml:space="preserve">December 31, 2025, </w:t>
      </w:r>
      <w:r>
        <w:rPr>
          <w:rFonts w:ascii="Times New Roman;Times;serif" w:hAnsi="Times New Roman;Times;serif"/>
          <w:sz w:val="20"/>
        </w:rPr>
        <w:t>respectively, on the consolidated balance sheets.</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olor w:val="000000"/>
          <w:sz w:val="20"/>
        </w:rPr>
        <w:t>As of </w:t>
      </w:r>
      <w:r>
        <w:rPr>
          <w:rStyle w:val="Emphasis"/>
          <w:rFonts w:ascii="Times New Roman;Times;serif" w:hAnsi="Times New Roman;Times;serif"/>
          <w:sz w:val="20"/>
        </w:rPr>
        <w:t xml:space="preserve"> June 30, 2026</w:t>
      </w:r>
      <w:r>
        <w:rPr>
          <w:rFonts w:ascii="Times New Roman;Times;serif" w:hAnsi="Times New Roman;Times;serif"/>
          <w:color w:val="000000"/>
          <w:sz w:val="20"/>
        </w:rPr>
        <w:t xml:space="preserve">, the Company regards the fair value of its </w:t>
      </w:r>
      <w:r>
        <w:rPr>
          <w:rFonts w:ascii="Times New Roman;Times;serif" w:hAnsi="Times New Roman;Times;serif"/>
          <w:sz w:val="20"/>
        </w:rPr>
        <w:t>Note (as defined in Note </w:t>
      </w:r>
      <w:r>
        <w:rPr>
          <w:rStyle w:val="Emphasis"/>
          <w:rFonts w:ascii="Times New Roman;Times;serif" w:hAnsi="Times New Roman;Times;serif"/>
          <w:sz w:val="20"/>
        </w:rPr>
        <w:t>12,</w:t>
      </w:r>
      <w:r>
        <w:rPr>
          <w:rFonts w:ascii="Times New Roman;Times;serif" w:hAnsi="Times New Roman;Times;serif"/>
          <w:sz w:val="20"/>
        </w:rPr>
        <w:t xml:space="preserve"> </w:t>
      </w:r>
      <w:r>
        <w:rPr>
          <w:rFonts w:ascii="Times New Roman;Times;serif" w:hAnsi="Times New Roman;Times;serif"/>
          <w:i/>
          <w:sz w:val="20"/>
        </w:rPr>
        <w:t>Divestiture</w:t>
      </w:r>
      <w:r>
        <w:rPr>
          <w:rFonts w:ascii="Times New Roman;Times;serif" w:hAnsi="Times New Roman;Times;serif"/>
          <w:sz w:val="20"/>
        </w:rPr>
        <w:t>) and </w:t>
      </w:r>
      <w:r>
        <w:rPr>
          <w:rFonts w:ascii="Times New Roman;Times;serif" w:hAnsi="Times New Roman;Times;serif"/>
          <w:color w:val="000000"/>
          <w:sz w:val="20"/>
        </w:rPr>
        <w:t>debt to approximate its carrying value.</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color w:val="000000"/>
          <w:sz w:val="20"/>
        </w:rPr>
        <w:t>The following table presents the Company’s fair value hierarchy for assets and liabilities that are measured at fair value on a recurring basis as of </w:t>
      </w:r>
      <w:r>
        <w:rPr>
          <w:rStyle w:val="Emphasis"/>
          <w:rFonts w:ascii="Times New Roman;Times;serif" w:hAnsi="Times New Roman;Times;serif"/>
          <w:sz w:val="20"/>
        </w:rPr>
        <w:t xml:space="preserve"> June 30, 2026</w:t>
      </w:r>
      <w:r>
        <w:rPr>
          <w:rFonts w:ascii="Times New Roman;Times;serif" w:hAnsi="Times New Roman;Times;serif"/>
          <w:sz w:val="20"/>
        </w:rPr>
        <w:t> </w:t>
      </w:r>
      <w:r>
        <w:rPr>
          <w:rFonts w:ascii="Times New Roman;Times;serif" w:hAnsi="Times New Roman;Times;serif"/>
          <w:color w:val="000000"/>
          <w:sz w:val="20"/>
        </w:rPr>
        <w:t>and </w:t>
      </w:r>
      <w:r>
        <w:rPr>
          <w:rStyle w:val="Emphasis"/>
          <w:rFonts w:ascii="Times New Roman;Times;serif" w:hAnsi="Times New Roman;Times;serif"/>
          <w:sz w:val="20"/>
        </w:rPr>
        <w:t xml:space="preserve"> December 31, 2025</w:t>
      </w:r>
      <w:r>
        <w:rPr>
          <w:rFonts w:ascii="Times New Roman;Times;serif" w:hAnsi="Times New Roman;Times;serif"/>
          <w:color w:val="000000"/>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8570" w:type="dxa"/>
        <w:jc w:val="left"/>
        <w:tblInd w:w="0" w:type="dxa"/>
        <w:tblLayout w:type="fixed"/>
        <w:tblCellMar>
          <w:top w:w="0" w:type="dxa"/>
          <w:left w:w="0" w:type="dxa"/>
          <w:bottom w:w="0" w:type="dxa"/>
          <w:right w:w="0" w:type="dxa"/>
        </w:tblCellMar>
      </w:tblPr>
      <w:tblGrid>
        <w:gridCol w:w="4400"/>
        <w:gridCol w:w="23"/>
        <w:gridCol w:w="175"/>
        <w:gridCol w:w="474"/>
        <w:gridCol w:w="23"/>
        <w:gridCol w:w="23"/>
        <w:gridCol w:w="24"/>
        <w:gridCol w:w="625"/>
        <w:gridCol w:w="23"/>
        <w:gridCol w:w="23"/>
        <w:gridCol w:w="29"/>
        <w:gridCol w:w="620"/>
        <w:gridCol w:w="23"/>
        <w:gridCol w:w="23"/>
        <w:gridCol w:w="175"/>
        <w:gridCol w:w="474"/>
        <w:gridCol w:w="23"/>
        <w:gridCol w:w="23"/>
        <w:gridCol w:w="24"/>
        <w:gridCol w:w="625"/>
        <w:gridCol w:w="23"/>
        <w:gridCol w:w="23"/>
        <w:gridCol w:w="29"/>
        <w:gridCol w:w="620"/>
        <w:gridCol w:w="23"/>
      </w:tblGrid>
      <w:tr>
        <w:trPr/>
        <w:tc>
          <w:tcPr>
            <w:tcW w:w="44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03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June 30, 2026</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03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December 31, 2025</w:t>
            </w:r>
          </w:p>
        </w:tc>
        <w:tc>
          <w:tcPr>
            <w:tcW w:w="23" w:type="dxa"/>
            <w:tcBorders/>
            <w:vAlign w:val="center"/>
          </w:tcPr>
          <w:p>
            <w:pPr>
              <w:pStyle w:val="TableContents"/>
              <w:bidi w:val="0"/>
              <w:spacing w:before="0" w:after="0"/>
              <w:ind w:left="0" w:right="0" w:hanging="0"/>
              <w:jc w:val="left"/>
              <w:rPr/>
            </w:pPr>
            <w:r>
              <w:rPr/>
              <w:t>​</w:t>
            </w:r>
          </w:p>
        </w:tc>
      </w:tr>
      <w:tr>
        <w:trPr/>
        <w:tc>
          <w:tcPr>
            <w:tcW w:w="440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Level 1</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Level 2</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Level 3</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Level 1</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Level 2</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Level 3</w:t>
            </w:r>
          </w:p>
        </w:tc>
        <w:tc>
          <w:tcPr>
            <w:tcW w:w="23" w:type="dxa"/>
            <w:tcBorders/>
            <w:vAlign w:val="center"/>
          </w:tcPr>
          <w:p>
            <w:pPr>
              <w:pStyle w:val="TableContents"/>
              <w:bidi w:val="0"/>
              <w:spacing w:before="0" w:after="0"/>
              <w:ind w:left="0" w:right="0" w:hanging="0"/>
              <w:jc w:val="left"/>
              <w:rPr/>
            </w:pPr>
            <w:r>
              <w:rPr/>
              <w:t>​</w:t>
            </w:r>
          </w:p>
        </w:tc>
      </w:tr>
      <w:tr>
        <w:trPr/>
        <w:tc>
          <w:tcPr>
            <w:tcW w:w="4400" w:type="dxa"/>
            <w:tcBorders/>
            <w:vAlign w:val="center"/>
          </w:tcPr>
          <w:p>
            <w:pPr>
              <w:pStyle w:val="TableContents"/>
              <w:bidi w:val="0"/>
              <w:spacing w:before="0" w:after="0"/>
              <w:ind w:left="0" w:right="0" w:hanging="0"/>
              <w:jc w:val="left"/>
              <w:rPr>
                <w:rFonts w:ascii="Times New Roman" w:hAnsi="Times New Roman"/>
                <w:b/>
                <w:caps w:val="false"/>
                <w:smallCaps w:val="false"/>
                <w:color w:val="000000"/>
                <w:sz w:val="20"/>
              </w:rPr>
            </w:pPr>
            <w:r>
              <w:rPr>
                <w:rFonts w:ascii="Times New Roman" w:hAnsi="Times New Roman"/>
                <w:b/>
                <w:caps w:val="false"/>
                <w:smallCaps w:val="false"/>
                <w:color w:val="000000"/>
                <w:sz w:val="20"/>
              </w:rPr>
              <w:t>Assets:</w:t>
            </w:r>
          </w:p>
        </w:tc>
        <w:tc>
          <w:tcPr>
            <w:tcW w:w="23" w:type="dxa"/>
            <w:tcBorders/>
            <w:vAlign w:val="center"/>
          </w:tcPr>
          <w:p>
            <w:pPr>
              <w:pStyle w:val="TableContents"/>
              <w:bidi w:val="0"/>
              <w:spacing w:before="0" w:after="0"/>
              <w:ind w:left="0" w:right="0" w:hanging="0"/>
              <w:jc w:val="left"/>
              <w:rPr/>
            </w:pPr>
            <w:r>
              <w:rPr/>
              <w:t>​</w:t>
            </w:r>
          </w:p>
        </w:tc>
        <w:tc>
          <w:tcPr>
            <w:tcW w:w="175"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75" w:type="dxa"/>
            <w:tcBorders/>
            <w:vAlign w:val="center"/>
          </w:tcPr>
          <w:p>
            <w:pPr>
              <w:pStyle w:val="TableContents"/>
              <w:bidi w:val="0"/>
              <w:spacing w:before="0" w:after="0"/>
              <w:ind w:left="0" w:right="0" w:hanging="0"/>
              <w:jc w:val="left"/>
              <w:rPr/>
            </w:pPr>
            <w:r>
              <w:rPr/>
              <w:t>​</w:t>
            </w:r>
          </w:p>
        </w:tc>
        <w:tc>
          <w:tcPr>
            <w:tcW w:w="474"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4" w:type="dxa"/>
            <w:tcBorders/>
            <w:vAlign w:val="center"/>
          </w:tcPr>
          <w:p>
            <w:pPr>
              <w:pStyle w:val="TableContents"/>
              <w:bidi w:val="0"/>
              <w:spacing w:before="0" w:after="0"/>
              <w:ind w:left="0" w:right="0" w:hanging="0"/>
              <w:jc w:val="left"/>
              <w:rPr/>
            </w:pPr>
            <w:r>
              <w:rPr/>
              <w:t>​</w:t>
            </w:r>
          </w:p>
        </w:tc>
        <w:tc>
          <w:tcPr>
            <w:tcW w:w="62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9" w:type="dxa"/>
            <w:tcBorders/>
            <w:vAlign w:val="center"/>
          </w:tcPr>
          <w:p>
            <w:pPr>
              <w:pStyle w:val="TableContents"/>
              <w:bidi w:val="0"/>
              <w:spacing w:before="0" w:after="0"/>
              <w:ind w:left="0" w:right="0" w:hanging="0"/>
              <w:jc w:val="left"/>
              <w:rPr/>
            </w:pPr>
            <w:r>
              <w:rPr/>
              <w:t>​</w:t>
            </w:r>
          </w:p>
        </w:tc>
        <w:tc>
          <w:tcPr>
            <w:tcW w:w="62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Restricted cash</w:t>
            </w:r>
          </w:p>
        </w:tc>
        <w:tc>
          <w:tcPr>
            <w:tcW w:w="23" w:type="dxa"/>
            <w:tcBorders/>
            <w:shd w:fill="CCEEFF" w:val="clear"/>
            <w:vAlign w:val="center"/>
          </w:tcPr>
          <w:p>
            <w:pPr>
              <w:pStyle w:val="TableContents"/>
              <w:bidi w:val="0"/>
              <w:spacing w:before="0" w:after="0"/>
              <w:ind w:left="0" w:right="0" w:hanging="0"/>
              <w:jc w:val="left"/>
              <w:rPr/>
            </w:pPr>
            <w:r>
              <w:rPr/>
              <w:t>​</w:t>
            </w:r>
          </w:p>
        </w:tc>
        <w:tc>
          <w:tcPr>
            <w:tcW w:w="1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74"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710</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4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Note</w:t>
            </w:r>
            <w:r>
              <w:rPr>
                <w:rFonts w:ascii="Times New Roman" w:hAnsi="Times New Roman"/>
                <w:position w:val="7"/>
                <w:sz w:val="16"/>
                <w:sz w:val="20"/>
              </w:rPr>
              <w:t>(1)</w:t>
            </w:r>
          </w:p>
        </w:tc>
        <w:tc>
          <w:tcPr>
            <w:tcW w:w="23" w:type="dxa"/>
            <w:tcBorders/>
            <w:shd w:fill="FFFFFF" w:val="clear"/>
            <w:vAlign w:val="center"/>
          </w:tcPr>
          <w:p>
            <w:pPr>
              <w:pStyle w:val="TableContents"/>
              <w:bidi w:val="0"/>
              <w:spacing w:before="0" w:after="0"/>
              <w:ind w:left="0" w:right="0" w:hanging="0"/>
              <w:jc w:val="left"/>
              <w:rPr/>
            </w:pPr>
            <w:r>
              <w:rPr/>
              <w:t>​</w:t>
            </w:r>
          </w:p>
        </w:tc>
        <w:tc>
          <w:tcPr>
            <w:tcW w:w="175" w:type="dxa"/>
            <w:tcBorders/>
            <w:shd w:fill="FFFFFF" w:val="clear"/>
            <w:vAlign w:val="center"/>
          </w:tcPr>
          <w:p>
            <w:pPr>
              <w:pStyle w:val="TableContents"/>
              <w:bidi w:val="0"/>
              <w:spacing w:before="0" w:after="0"/>
              <w:ind w:left="0" w:right="0" w:hanging="0"/>
              <w:jc w:val="left"/>
              <w:rPr/>
            </w:pPr>
            <w:r>
              <w:rPr/>
              <w:t>​</w:t>
            </w:r>
          </w:p>
        </w:tc>
        <w:tc>
          <w:tcPr>
            <w:tcW w:w="47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6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2,718</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62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5" w:type="dxa"/>
            <w:tcBorders/>
            <w:shd w:fill="FFFFFF" w:val="clear"/>
            <w:vAlign w:val="center"/>
          </w:tcPr>
          <w:p>
            <w:pPr>
              <w:pStyle w:val="TableContents"/>
              <w:bidi w:val="0"/>
              <w:spacing w:before="0" w:after="0"/>
              <w:ind w:left="0" w:right="0" w:hanging="0"/>
              <w:jc w:val="left"/>
              <w:rPr/>
            </w:pPr>
            <w:r>
              <w:rPr/>
              <w:t>​</w:t>
            </w:r>
          </w:p>
        </w:tc>
        <w:tc>
          <w:tcPr>
            <w:tcW w:w="47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62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62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color w:val="000000"/>
                <w:sz w:val="20"/>
              </w:rPr>
            </w:pPr>
            <w:r>
              <w:rPr>
                <w:rFonts w:ascii="Times New Roman" w:hAnsi="Times New Roman"/>
                <w:b/>
                <w:caps w:val="false"/>
                <w:smallCaps w:val="false"/>
                <w:color w:val="000000"/>
                <w:sz w:val="20"/>
              </w:rPr>
              <w:t>Liabilities:</w:t>
            </w:r>
          </w:p>
        </w:tc>
        <w:tc>
          <w:tcPr>
            <w:tcW w:w="23" w:type="dxa"/>
            <w:tcBorders/>
            <w:shd w:fill="CCEEFF" w:val="clear"/>
            <w:vAlign w:val="center"/>
          </w:tcPr>
          <w:p>
            <w:pPr>
              <w:pStyle w:val="TableContents"/>
              <w:bidi w:val="0"/>
              <w:spacing w:before="0" w:after="0"/>
              <w:ind w:left="0" w:right="0" w:hanging="0"/>
              <w:jc w:val="left"/>
              <w:rPr/>
            </w:pPr>
            <w:r>
              <w:rPr/>
              <w:t>​</w:t>
            </w:r>
          </w:p>
        </w:tc>
        <w:tc>
          <w:tcPr>
            <w:tcW w:w="175"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5"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4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Debt, net</w:t>
            </w:r>
            <w:r>
              <w:rPr>
                <w:rFonts w:ascii="Times New Roman" w:hAnsi="Times New Roman"/>
                <w:position w:val="7"/>
                <w:sz w:val="16"/>
                <w:sz w:val="20"/>
              </w:rPr>
              <w:t>(2)</w:t>
            </w:r>
          </w:p>
        </w:tc>
        <w:tc>
          <w:tcPr>
            <w:tcW w:w="23" w:type="dxa"/>
            <w:tcBorders/>
            <w:shd w:fill="FFFFFF" w:val="clear"/>
            <w:vAlign w:val="center"/>
          </w:tcPr>
          <w:p>
            <w:pPr>
              <w:pStyle w:val="TableContents"/>
              <w:bidi w:val="0"/>
              <w:spacing w:before="0" w:after="0"/>
              <w:ind w:left="0" w:right="0" w:hanging="0"/>
              <w:jc w:val="left"/>
              <w:rPr/>
            </w:pPr>
            <w:r>
              <w:rPr/>
              <w:t>​</w:t>
            </w:r>
          </w:p>
        </w:tc>
        <w:tc>
          <w:tcPr>
            <w:tcW w:w="175" w:type="dxa"/>
            <w:tcBorders/>
            <w:shd w:fill="FFFFFF" w:val="clear"/>
            <w:vAlign w:val="center"/>
          </w:tcPr>
          <w:p>
            <w:pPr>
              <w:pStyle w:val="TableContents"/>
              <w:bidi w:val="0"/>
              <w:spacing w:before="0" w:after="0"/>
              <w:ind w:left="0" w:right="0" w:hanging="0"/>
              <w:jc w:val="left"/>
              <w:rPr/>
            </w:pPr>
            <w:r>
              <w:rPr/>
              <w:t>​</w:t>
            </w:r>
          </w:p>
        </w:tc>
        <w:tc>
          <w:tcPr>
            <w:tcW w:w="47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6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27,526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62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5" w:type="dxa"/>
            <w:tcBorders/>
            <w:shd w:fill="FFFFFF" w:val="clear"/>
            <w:vAlign w:val="center"/>
          </w:tcPr>
          <w:p>
            <w:pPr>
              <w:pStyle w:val="TableContents"/>
              <w:bidi w:val="0"/>
              <w:spacing w:before="0" w:after="0"/>
              <w:ind w:left="0" w:right="0" w:hanging="0"/>
              <w:jc w:val="left"/>
              <w:rPr/>
            </w:pPr>
            <w:r>
              <w:rPr/>
              <w:t>​</w:t>
            </w:r>
          </w:p>
        </w:tc>
        <w:tc>
          <w:tcPr>
            <w:tcW w:w="47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62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31,772</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62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440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Convertible Notes with related parties</w:t>
            </w:r>
          </w:p>
        </w:tc>
        <w:tc>
          <w:tcPr>
            <w:tcW w:w="23" w:type="dxa"/>
            <w:tcBorders/>
            <w:shd w:fill="CCEEFF" w:val="clear"/>
            <w:vAlign w:val="center"/>
          </w:tcPr>
          <w:p>
            <w:pPr>
              <w:pStyle w:val="TableContents"/>
              <w:bidi w:val="0"/>
              <w:spacing w:before="0" w:after="0"/>
              <w:ind w:left="0" w:right="0" w:hanging="0"/>
              <w:jc w:val="left"/>
              <w:rPr/>
            </w:pPr>
            <w:r>
              <w:rPr/>
              <w:t>​</w:t>
            </w:r>
          </w:p>
        </w:tc>
        <w:tc>
          <w:tcPr>
            <w:tcW w:w="175"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5,155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175" w:type="dxa"/>
            <w:tcBorders/>
            <w:shd w:fill="CCEEFF" w:val="clear"/>
            <w:vAlign w:val="center"/>
          </w:tcPr>
          <w:p>
            <w:pPr>
              <w:pStyle w:val="TableContents"/>
              <w:bidi w:val="0"/>
              <w:spacing w:before="0" w:after="0"/>
              <w:ind w:left="0" w:right="0" w:hanging="0"/>
              <w:jc w:val="left"/>
              <w:rPr/>
            </w:pPr>
            <w:r>
              <w:rPr/>
              <w:t>​</w:t>
            </w:r>
          </w:p>
        </w:tc>
        <w:tc>
          <w:tcPr>
            <w:tcW w:w="474"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4" w:type="dxa"/>
            <w:tcBorders/>
            <w:shd w:fill="CCEEFF" w:val="clear"/>
            <w:vAlign w:val="center"/>
          </w:tcPr>
          <w:p>
            <w:pPr>
              <w:pStyle w:val="TableContents"/>
              <w:bidi w:val="0"/>
              <w:spacing w:before="0" w:after="0"/>
              <w:ind w:left="0" w:right="0" w:hanging="0"/>
              <w:jc w:val="left"/>
              <w:rPr/>
            </w:pPr>
            <w:r>
              <w:rPr/>
              <w:t>​</w:t>
            </w:r>
          </w:p>
        </w:tc>
        <w:tc>
          <w:tcPr>
            <w:tcW w:w="625"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9" w:type="dxa"/>
            <w:tcBorders/>
            <w:shd w:fill="CCEEFF" w:val="clear"/>
            <w:vAlign w:val="center"/>
          </w:tcPr>
          <w:p>
            <w:pPr>
              <w:pStyle w:val="TableContents"/>
              <w:bidi w:val="0"/>
              <w:spacing w:before="0" w:after="0"/>
              <w:ind w:left="0" w:right="0" w:hanging="0"/>
              <w:jc w:val="left"/>
              <w:rPr/>
            </w:pPr>
            <w:r>
              <w:rPr/>
              <w:t>​</w:t>
            </w:r>
          </w:p>
        </w:tc>
        <w:tc>
          <w:tcPr>
            <w:tcW w:w="62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3,734</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440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Contingent consideration in connection with TAPP</w:t>
            </w:r>
            <w:r>
              <w:rPr>
                <w:rFonts w:ascii="Times New Roman" w:hAnsi="Times New Roman"/>
                <w:position w:val="7"/>
                <w:sz w:val="16"/>
                <w:sz w:val="20"/>
              </w:rPr>
              <w:t>(3)</w:t>
            </w:r>
          </w:p>
        </w:tc>
        <w:tc>
          <w:tcPr>
            <w:tcW w:w="23" w:type="dxa"/>
            <w:tcBorders/>
            <w:shd w:fill="FFFFFF" w:val="clear"/>
            <w:vAlign w:val="center"/>
          </w:tcPr>
          <w:p>
            <w:pPr>
              <w:pStyle w:val="TableContents"/>
              <w:bidi w:val="0"/>
              <w:spacing w:before="0" w:after="0"/>
              <w:ind w:left="0" w:right="0" w:hanging="0"/>
              <w:jc w:val="left"/>
              <w:rPr/>
            </w:pPr>
            <w:r>
              <w:rPr/>
              <w:t>​</w:t>
            </w:r>
          </w:p>
        </w:tc>
        <w:tc>
          <w:tcPr>
            <w:tcW w:w="175" w:type="dxa"/>
            <w:tcBorders/>
            <w:shd w:fill="FFFFFF" w:val="clear"/>
            <w:vAlign w:val="center"/>
          </w:tcPr>
          <w:p>
            <w:pPr>
              <w:pStyle w:val="TableContents"/>
              <w:bidi w:val="0"/>
              <w:spacing w:before="0" w:after="0"/>
              <w:ind w:left="0" w:right="0" w:hanging="0"/>
              <w:jc w:val="left"/>
              <w:rPr/>
            </w:pPr>
            <w:r>
              <w:rPr/>
              <w:t>​</w:t>
            </w:r>
          </w:p>
        </w:tc>
        <w:tc>
          <w:tcPr>
            <w:tcW w:w="47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62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620"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175" w:type="dxa"/>
            <w:tcBorders/>
            <w:shd w:fill="FFFFFF" w:val="clear"/>
            <w:vAlign w:val="center"/>
          </w:tcPr>
          <w:p>
            <w:pPr>
              <w:pStyle w:val="TableContents"/>
              <w:bidi w:val="0"/>
              <w:spacing w:before="0" w:after="0"/>
              <w:ind w:left="0" w:right="0" w:hanging="0"/>
              <w:jc w:val="left"/>
              <w:rPr/>
            </w:pPr>
            <w:r>
              <w:rPr/>
              <w:t>​</w:t>
            </w:r>
          </w:p>
        </w:tc>
        <w:tc>
          <w:tcPr>
            <w:tcW w:w="474"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4" w:type="dxa"/>
            <w:tcBorders/>
            <w:shd w:fill="FFFFFF" w:val="clear"/>
            <w:vAlign w:val="center"/>
          </w:tcPr>
          <w:p>
            <w:pPr>
              <w:pStyle w:val="TableContents"/>
              <w:bidi w:val="0"/>
              <w:spacing w:before="0" w:after="0"/>
              <w:ind w:left="0" w:right="0" w:hanging="0"/>
              <w:jc w:val="left"/>
              <w:rPr/>
            </w:pPr>
            <w:r>
              <w:rPr/>
              <w:t>​</w:t>
            </w:r>
          </w:p>
        </w:tc>
        <w:tc>
          <w:tcPr>
            <w:tcW w:w="625"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9" w:type="dxa"/>
            <w:tcBorders/>
            <w:shd w:fill="FFFFFF" w:val="clear"/>
            <w:vAlign w:val="center"/>
          </w:tcPr>
          <w:p>
            <w:pPr>
              <w:pStyle w:val="TableContents"/>
              <w:bidi w:val="0"/>
              <w:spacing w:before="0" w:after="0"/>
              <w:ind w:left="0" w:right="0" w:hanging="0"/>
              <w:jc w:val="left"/>
              <w:rPr/>
            </w:pPr>
            <w:r>
              <w:rPr/>
              <w:t>​</w:t>
            </w:r>
          </w:p>
        </w:tc>
        <w:tc>
          <w:tcPr>
            <w:tcW w:w="62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c>
          <w:tcPr>
            <w:tcW w:w="23"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tbl>
      <w:tblPr>
        <w:tblW w:w="8725" w:type="dxa"/>
        <w:jc w:val="left"/>
        <w:tblInd w:w="0" w:type="dxa"/>
        <w:tblLayout w:type="fixed"/>
        <w:tblCellMar>
          <w:top w:w="0" w:type="dxa"/>
          <w:left w:w="0" w:type="dxa"/>
          <w:bottom w:w="0" w:type="dxa"/>
          <w:right w:w="0" w:type="dxa"/>
        </w:tblCellMar>
      </w:tblPr>
      <w:tblGrid>
        <w:gridCol w:w="245"/>
        <w:gridCol w:w="8480"/>
      </w:tblGrid>
      <w:tr>
        <w:trPr/>
        <w:tc>
          <w:tcPr>
            <w:tcW w:w="245" w:type="dxa"/>
            <w:tcBorders/>
            <w:vAlign w:val="center"/>
          </w:tcPr>
          <w:p>
            <w:pPr>
              <w:pStyle w:val="TableContents"/>
              <w:bidi w:val="0"/>
              <w:spacing w:lineRule="auto" w:line="288" w:before="0" w:after="0"/>
              <w:ind w:left="0" w:right="0" w:hanging="0"/>
              <w:jc w:val="left"/>
              <w:rPr/>
            </w:pPr>
            <w:r>
              <w:rPr>
                <w:rFonts w:ascii="Times New Roman;Times;serif" w:hAnsi="Times New Roman;Times;serif"/>
                <w:color w:val="000000"/>
                <w:sz w:val="20"/>
              </w:rPr>
              <w:t>(</w:t>
            </w:r>
            <w:r>
              <w:rPr>
                <w:rStyle w:val="Emphasis"/>
                <w:rFonts w:ascii="Times New Roman;Times;serif" w:hAnsi="Times New Roman;Times;serif"/>
                <w:color w:val="000000"/>
                <w:sz w:val="20"/>
              </w:rPr>
              <w:t>1</w:t>
            </w:r>
            <w:r>
              <w:rPr>
                <w:rFonts w:ascii="Times New Roman;Times;serif" w:hAnsi="Times New Roman;Times;serif"/>
                <w:color w:val="000000"/>
                <w:sz w:val="20"/>
              </w:rPr>
              <w:t>)</w:t>
            </w:r>
          </w:p>
        </w:tc>
        <w:tc>
          <w:tcPr>
            <w:tcW w:w="8480" w:type="dxa"/>
            <w:tcBorders/>
            <w:vAlign w:val="center"/>
          </w:tcPr>
          <w:p>
            <w:pPr>
              <w:pStyle w:val="TableContents"/>
              <w:bidi w:val="0"/>
              <w:spacing w:before="0" w:after="283"/>
              <w:jc w:val="left"/>
              <w:rPr/>
            </w:pPr>
            <w:r>
              <w:rPr>
                <w:color w:val="000000"/>
                <w:sz w:val="20"/>
              </w:rPr>
              <w:t xml:space="preserve">Excludes the allowance for credit losses. See Note </w:t>
            </w:r>
            <w:r>
              <w:rPr>
                <w:rStyle w:val="Emphasis"/>
                <w:color w:val="000000"/>
                <w:sz w:val="20"/>
              </w:rPr>
              <w:t>1</w:t>
            </w:r>
            <w:r>
              <w:rPr>
                <w:color w:val="000000"/>
                <w:sz w:val="20"/>
              </w:rPr>
              <w:t xml:space="preserve">(e), </w:t>
            </w:r>
            <w:r>
              <w:rPr>
                <w:i/>
                <w:color w:val="000000"/>
                <w:sz w:val="20"/>
              </w:rPr>
              <w:t>Note receivable and allowance for credit losses</w:t>
            </w:r>
            <w:r>
              <w:rPr>
                <w:color w:val="000000"/>
                <w:sz w:val="20"/>
              </w:rPr>
              <w:t>. </w:t>
            </w:r>
          </w:p>
        </w:tc>
      </w:tr>
    </w:tbl>
    <w:tbl>
      <w:tblPr>
        <w:tblW w:w="10205" w:type="dxa"/>
        <w:jc w:val="left"/>
        <w:tblInd w:w="0" w:type="dxa"/>
        <w:tblLayout w:type="fixed"/>
        <w:tblCellMar>
          <w:top w:w="0" w:type="dxa"/>
          <w:left w:w="0" w:type="dxa"/>
          <w:bottom w:w="0" w:type="dxa"/>
          <w:right w:w="0" w:type="dxa"/>
        </w:tblCellMar>
      </w:tblPr>
      <w:tblGrid>
        <w:gridCol w:w="225"/>
        <w:gridCol w:w="9980"/>
      </w:tblGrid>
      <w:tr>
        <w:trPr/>
        <w:tc>
          <w:tcPr>
            <w:tcW w:w="225" w:type="dxa"/>
            <w:tcBorders/>
            <w:vAlign w:val="center"/>
          </w:tcPr>
          <w:p>
            <w:pPr>
              <w:pStyle w:val="TableContents"/>
              <w:bidi w:val="0"/>
              <w:spacing w:lineRule="auto" w:line="288" w:before="0" w:after="0"/>
              <w:ind w:left="0" w:right="0" w:hanging="0"/>
              <w:jc w:val="left"/>
              <w:rPr/>
            </w:pPr>
            <w:r>
              <w:rPr>
                <w:rFonts w:ascii="Times New Roman;Times;serif" w:hAnsi="Times New Roman;Times;serif"/>
                <w:color w:val="000000"/>
                <w:sz w:val="20"/>
              </w:rPr>
              <w:t>(</w:t>
            </w:r>
            <w:r>
              <w:rPr>
                <w:rStyle w:val="Emphasis"/>
                <w:rFonts w:ascii="Times New Roman;Times;serif" w:hAnsi="Times New Roman;Times;serif"/>
                <w:color w:val="000000"/>
                <w:sz w:val="20"/>
              </w:rPr>
              <w:t>2</w:t>
            </w:r>
            <w:r>
              <w:rPr>
                <w:rFonts w:ascii="Times New Roman;Times;serif" w:hAnsi="Times New Roman;Times;serif"/>
                <w:color w:val="000000"/>
                <w:sz w:val="20"/>
              </w:rPr>
              <w:t>)</w:t>
            </w:r>
          </w:p>
        </w:tc>
        <w:tc>
          <w:tcPr>
            <w:tcW w:w="9980" w:type="dxa"/>
            <w:tcBorders/>
            <w:vAlign w:val="center"/>
          </w:tcPr>
          <w:p>
            <w:pPr>
              <w:pStyle w:val="TableContents"/>
              <w:bidi w:val="0"/>
              <w:spacing w:before="0" w:after="283"/>
              <w:jc w:val="left"/>
              <w:rPr/>
            </w:pPr>
            <w:r>
              <w:rPr>
                <w:color w:val="000000"/>
                <w:sz w:val="20"/>
              </w:rPr>
              <w:t xml:space="preserve">Inclusive of the credit facilities and note payable. The debt fair value does </w:t>
            </w:r>
            <w:r>
              <w:rPr>
                <w:rStyle w:val="Emphasis"/>
                <w:color w:val="000000"/>
                <w:sz w:val="20"/>
              </w:rPr>
              <w:t>not</w:t>
            </w:r>
            <w:r>
              <w:rPr>
                <w:color w:val="000000"/>
                <w:sz w:val="20"/>
              </w:rPr>
              <w:t xml:space="preserve"> include debt issuance costs or debt discount. See Note </w:t>
            </w:r>
            <w:r>
              <w:rPr>
                <w:rStyle w:val="Emphasis"/>
                <w:sz w:val="20"/>
              </w:rPr>
              <w:t>4</w:t>
            </w:r>
            <w:r>
              <w:rPr>
                <w:color w:val="000000"/>
                <w:sz w:val="20"/>
              </w:rPr>
              <w:t>, D</w:t>
            </w:r>
            <w:r>
              <w:rPr>
                <w:i/>
                <w:color w:val="000000"/>
                <w:sz w:val="20"/>
              </w:rPr>
              <w:t>ebt, net.</w:t>
            </w:r>
          </w:p>
        </w:tc>
      </w:tr>
    </w:tbl>
    <w:tbl>
      <w:tblPr>
        <w:tblW w:w="10205" w:type="dxa"/>
        <w:jc w:val="left"/>
        <w:tblInd w:w="0" w:type="dxa"/>
        <w:tblLayout w:type="fixed"/>
        <w:tblCellMar>
          <w:top w:w="0" w:type="dxa"/>
          <w:left w:w="0" w:type="dxa"/>
          <w:bottom w:w="0" w:type="dxa"/>
          <w:right w:w="0" w:type="dxa"/>
        </w:tblCellMar>
      </w:tblPr>
      <w:tblGrid>
        <w:gridCol w:w="198"/>
        <w:gridCol w:w="10007"/>
      </w:tblGrid>
      <w:tr>
        <w:trPr/>
        <w:tc>
          <w:tcPr>
            <w:tcW w:w="198" w:type="dxa"/>
            <w:tcBorders/>
            <w:vAlign w:val="center"/>
          </w:tcPr>
          <w:p>
            <w:pPr>
              <w:pStyle w:val="TableContents"/>
              <w:bidi w:val="0"/>
              <w:spacing w:lineRule="auto" w:line="288" w:before="0" w:after="0"/>
              <w:ind w:left="0" w:right="0" w:hanging="0"/>
              <w:jc w:val="left"/>
              <w:rPr/>
            </w:pPr>
            <w:r>
              <w:rPr>
                <w:rFonts w:ascii="Times New Roman;Times;serif" w:hAnsi="Times New Roman;Times;serif"/>
                <w:color w:val="000000"/>
                <w:sz w:val="20"/>
              </w:rPr>
              <w:t>(</w:t>
            </w:r>
            <w:r>
              <w:rPr>
                <w:rStyle w:val="Emphasis"/>
                <w:rFonts w:ascii="Times New Roman;Times;serif" w:hAnsi="Times New Roman;Times;serif"/>
                <w:color w:val="000000"/>
                <w:sz w:val="20"/>
              </w:rPr>
              <w:t>3</w:t>
            </w:r>
            <w:r>
              <w:rPr>
                <w:rFonts w:ascii="Times New Roman;Times;serif" w:hAnsi="Times New Roman;Times;serif"/>
                <w:color w:val="000000"/>
                <w:sz w:val="20"/>
              </w:rPr>
              <w:t>)</w:t>
            </w:r>
          </w:p>
        </w:tc>
        <w:tc>
          <w:tcPr>
            <w:tcW w:w="10007" w:type="dxa"/>
            <w:tcBorders/>
            <w:vAlign w:val="center"/>
          </w:tcPr>
          <w:p>
            <w:pPr>
              <w:pStyle w:val="TableContents"/>
              <w:bidi w:val="0"/>
              <w:spacing w:before="0" w:after="283"/>
              <w:jc w:val="left"/>
              <w:rPr>
                <w:color w:val="000000"/>
                <w:sz w:val="20"/>
              </w:rPr>
            </w:pPr>
            <w:r>
              <w:rPr>
                <w:color w:val="000000"/>
                <w:sz w:val="20"/>
              </w:rPr>
              <w:t>Balance was recorded in accrued expenses and other current liabilities with changes to the balance as a result of adjustment of the fair value related to the initial discount rate and payments made.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color w:val="000000"/>
          <w:sz w:val="20"/>
        </w:rPr>
        <w:t>Convertible Notes with related parties</w:t>
      </w:r>
      <w:r>
        <w:rPr>
          <w:rFonts w:ascii="Times New Roman;Times;serif" w:hAnsi="Times New Roman;Times;serif"/>
          <w:color w:val="000000"/>
          <w:sz w:val="20"/>
        </w:rPr>
        <w:t>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The Company issued the Convertible Notes on </w:t>
      </w:r>
      <w:r>
        <w:rPr>
          <w:rStyle w:val="Emphasis"/>
          <w:rFonts w:ascii="Times New Roman;Times;serif" w:hAnsi="Times New Roman;Times;serif"/>
          <w:color w:val="000000"/>
          <w:sz w:val="20"/>
        </w:rPr>
        <w:t xml:space="preserve">August 19, 2024 </w:t>
      </w:r>
      <w:r>
        <w:rPr>
          <w:rFonts w:ascii="Times New Roman;Times;serif" w:hAnsi="Times New Roman;Times;serif"/>
          <w:color w:val="000000"/>
          <w:sz w:val="20"/>
        </w:rPr>
        <w:t>and elected the fair value option. See Note </w:t>
      </w:r>
      <w:r>
        <w:rPr>
          <w:rStyle w:val="Emphasis"/>
          <w:rFonts w:ascii="Times New Roman;Times;serif" w:hAnsi="Times New Roman;Times;serif"/>
          <w:sz w:val="20"/>
        </w:rPr>
        <w:t>4</w:t>
      </w:r>
      <w:r>
        <w:rPr>
          <w:rFonts w:ascii="Times New Roman;Times;serif" w:hAnsi="Times New Roman;Times;serif"/>
          <w:color w:val="000000"/>
          <w:sz w:val="20"/>
        </w:rPr>
        <w:t xml:space="preserve">, </w:t>
      </w:r>
      <w:r>
        <w:rPr>
          <w:rFonts w:ascii="Times New Roman;Times;serif" w:hAnsi="Times New Roman;Times;serif"/>
          <w:i/>
          <w:color w:val="000000"/>
          <w:sz w:val="20"/>
        </w:rPr>
        <w:t>Debt, net</w:t>
      </w:r>
      <w:r>
        <w:rPr>
          <w:rFonts w:ascii="Times New Roman;Times;serif" w:hAnsi="Times New Roman;Times;serif"/>
          <w:color w:val="000000"/>
          <w:sz w:val="20"/>
        </w:rPr>
        <w:t>. The following is a reconciliation of the fair value from </w:t>
      </w:r>
      <w:r>
        <w:rPr>
          <w:rStyle w:val="Emphasis"/>
          <w:rFonts w:ascii="Times New Roman;Times;serif" w:hAnsi="Times New Roman;Times;serif"/>
          <w:sz w:val="20"/>
        </w:rPr>
        <w:t xml:space="preserve"> December 31, 2025</w:t>
      </w:r>
      <w:r>
        <w:rPr>
          <w:rFonts w:ascii="Times New Roman;Times;serif" w:hAnsi="Times New Roman;Times;serif"/>
          <w:sz w:val="20"/>
        </w:rPr>
        <w:t> </w:t>
      </w:r>
      <w:r>
        <w:rPr>
          <w:rFonts w:ascii="Times New Roman;Times;serif" w:hAnsi="Times New Roman;Times;serif"/>
          <w:color w:val="000000"/>
          <w:sz w:val="20"/>
        </w:rPr>
        <w:t>to </w:t>
      </w:r>
      <w:r>
        <w:rPr>
          <w:rStyle w:val="Emphasis"/>
          <w:rFonts w:ascii="Times New Roman;Times;serif" w:hAnsi="Times New Roman;Times;serif"/>
          <w:sz w:val="20"/>
        </w:rPr>
        <w:t xml:space="preserve"> June 30, 2026</w:t>
      </w:r>
      <w:r>
        <w:rPr>
          <w:rFonts w:ascii="Times New Roman;Times;serif" w:hAnsi="Times New Roman;Times;serif"/>
          <w:color w:val="000000"/>
          <w:sz w:val="20"/>
        </w:rPr>
        <w:t>:</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7376" w:type="dxa"/>
        <w:jc w:val="left"/>
        <w:tblInd w:w="0" w:type="dxa"/>
        <w:tblLayout w:type="fixed"/>
        <w:tblCellMar>
          <w:top w:w="0" w:type="dxa"/>
          <w:left w:w="0" w:type="dxa"/>
          <w:bottom w:w="0" w:type="dxa"/>
          <w:right w:w="0" w:type="dxa"/>
        </w:tblCellMar>
      </w:tblPr>
      <w:tblGrid>
        <w:gridCol w:w="6635"/>
        <w:gridCol w:w="23"/>
        <w:gridCol w:w="142"/>
        <w:gridCol w:w="553"/>
        <w:gridCol w:w="23"/>
      </w:tblGrid>
      <w:tr>
        <w:trPr/>
        <w:tc>
          <w:tcPr>
            <w:tcW w:w="663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Amount</w:t>
            </w:r>
          </w:p>
        </w:tc>
        <w:tc>
          <w:tcPr>
            <w:tcW w:w="23" w:type="dxa"/>
            <w:tcBorders/>
            <w:vAlign w:val="center"/>
          </w:tcPr>
          <w:p>
            <w:pPr>
              <w:pStyle w:val="TableContents"/>
              <w:bidi w:val="0"/>
              <w:spacing w:before="0" w:after="0"/>
              <w:ind w:left="0" w:right="0" w:hanging="0"/>
              <w:jc w:val="left"/>
              <w:rPr/>
            </w:pPr>
            <w:r>
              <w:rPr/>
              <w:t>​</w:t>
            </w:r>
          </w:p>
        </w:tc>
      </w:tr>
      <w:tr>
        <w:trPr/>
        <w:tc>
          <w:tcPr>
            <w:tcW w:w="663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Fair value as of December 31, 2025</w:t>
            </w:r>
          </w:p>
        </w:tc>
        <w:tc>
          <w:tcPr>
            <w:tcW w:w="23" w:type="dxa"/>
            <w:tcBorders/>
            <w:shd w:fill="CCEEFF" w:val="clear"/>
            <w:vAlign w:val="center"/>
          </w:tcPr>
          <w:p>
            <w:pPr>
              <w:pStyle w:val="TableContents"/>
              <w:bidi w:val="0"/>
              <w:spacing w:before="0" w:after="0"/>
              <w:ind w:left="0" w:right="0" w:hanging="0"/>
              <w:jc w:val="left"/>
              <w:rPr/>
            </w:pPr>
            <w:r>
              <w:rPr/>
              <w:t>​</w:t>
            </w:r>
          </w:p>
        </w:tc>
        <w:tc>
          <w:tcPr>
            <w:tcW w:w="14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5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3,734</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663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Loss on change in fair value reported in the consolidated statements of operations</w:t>
            </w:r>
          </w:p>
        </w:tc>
        <w:tc>
          <w:tcPr>
            <w:tcW w:w="23" w:type="dxa"/>
            <w:tcBorders/>
            <w:shd w:fill="FFFFFF" w:val="clear"/>
            <w:vAlign w:val="center"/>
          </w:tcPr>
          <w:p>
            <w:pPr>
              <w:pStyle w:val="TableContents"/>
              <w:bidi w:val="0"/>
              <w:spacing w:before="0" w:after="0"/>
              <w:ind w:left="0" w:right="0" w:hanging="0"/>
              <w:jc w:val="left"/>
              <w:rPr/>
            </w:pPr>
            <w:r>
              <w:rPr/>
              <w:t>​</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55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1,421</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663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Fair value as of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142"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553"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5,155</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As the Convertible Notes mature on </w:t>
      </w:r>
      <w:r>
        <w:rPr>
          <w:rStyle w:val="Emphasis"/>
          <w:rFonts w:ascii="Times New Roman" w:hAnsi="Times New Roman"/>
          <w:caps w:val="false"/>
          <w:smallCaps w:val="false"/>
          <w:sz w:val="20"/>
        </w:rPr>
        <w:t xml:space="preserve"> April 2, 2029, </w:t>
      </w:r>
      <w:r>
        <w:rPr>
          <w:rFonts w:ascii="Times New Roman" w:hAnsi="Times New Roman"/>
          <w:caps w:val="false"/>
          <w:smallCaps w:val="false"/>
          <w:sz w:val="20"/>
        </w:rPr>
        <w:t xml:space="preserve">and bear interest at 13% per annum paid in kind but </w:t>
      </w:r>
      <w:r>
        <w:rPr>
          <w:rStyle w:val="Emphasis"/>
          <w:rFonts w:ascii="Times New Roman" w:hAnsi="Times New Roman"/>
          <w:caps w:val="false"/>
          <w:smallCaps w:val="false"/>
          <w:sz w:val="20"/>
        </w:rPr>
        <w:t>may </w:t>
      </w:r>
      <w:r>
        <w:rPr>
          <w:rFonts w:ascii="Times New Roman" w:hAnsi="Times New Roman"/>
          <w:caps w:val="false"/>
          <w:smallCaps w:val="false"/>
          <w:sz w:val="20"/>
        </w:rPr>
        <w:t>be converted into shares of the Company’s common stock (the "call option"), the estimated fair value is computed as the sum of (a) the present value of the expected interest and principal payments using the discounted cash flow method based on an estimated discount rate and (b) the fair value of the call option computed using the Black-Scholes model. Both approaches are based on the following assumptions:</w:t>
      </w:r>
    </w:p>
    <w:p>
      <w:pPr>
        <w:pStyle w:val="TextBody"/>
        <w:bidi w:val="0"/>
        <w:spacing w:before="0" w:after="0"/>
        <w:ind w:left="0" w:right="0" w:hanging="0"/>
        <w:jc w:val="left"/>
        <w:rPr/>
      </w:pPr>
      <w:r>
        <w:rPr/>
        <w:t> </w:t>
      </w:r>
    </w:p>
    <w:tbl>
      <w:tblPr>
        <w:tblW w:w="3967" w:type="dxa"/>
        <w:jc w:val="left"/>
        <w:tblInd w:w="0" w:type="dxa"/>
        <w:tblLayout w:type="fixed"/>
        <w:tblCellMar>
          <w:top w:w="0" w:type="dxa"/>
          <w:left w:w="0" w:type="dxa"/>
          <w:bottom w:w="0" w:type="dxa"/>
          <w:right w:w="0" w:type="dxa"/>
        </w:tblCellMar>
      </w:tblPr>
      <w:tblGrid>
        <w:gridCol w:w="2570"/>
        <w:gridCol w:w="23"/>
        <w:gridCol w:w="243"/>
        <w:gridCol w:w="946"/>
        <w:gridCol w:w="185"/>
      </w:tblGrid>
      <w:tr>
        <w:trPr/>
        <w:tc>
          <w:tcPr>
            <w:tcW w:w="2570" w:type="dxa"/>
            <w:tcBorders/>
            <w:vAlign w:val="center"/>
          </w:tcPr>
          <w:p>
            <w:pPr>
              <w:pStyle w:val="TableContents"/>
              <w:bidi w:val="0"/>
              <w:spacing w:before="0" w:after="0"/>
              <w:ind w:left="0" w:right="0" w:hanging="0"/>
              <w:jc w:val="left"/>
              <w:rPr>
                <w:rFonts w:ascii="Times New Roman" w:hAnsi="Times New Roman"/>
                <w:b/>
                <w:caps w:val="false"/>
                <w:smallCaps w:val="false"/>
                <w:color w:val="000000"/>
                <w:sz w:val="20"/>
              </w:rPr>
            </w:pPr>
            <w:r>
              <w:rPr>
                <w:rFonts w:ascii="Times New Roman" w:hAnsi="Times New Roman"/>
                <w:b/>
                <w:caps w:val="false"/>
                <w:smallCaps w:val="false"/>
                <w:color w:val="000000"/>
                <w:sz w:val="20"/>
              </w:rPr>
              <w:t>Assumptions</w:t>
            </w:r>
          </w:p>
        </w:tc>
        <w:tc>
          <w:tcPr>
            <w:tcW w:w="23" w:type="dxa"/>
            <w:tcBorders/>
            <w:vAlign w:val="center"/>
          </w:tcPr>
          <w:p>
            <w:pPr>
              <w:pStyle w:val="TableContents"/>
              <w:bidi w:val="0"/>
              <w:spacing w:before="0" w:after="0"/>
              <w:ind w:left="0" w:right="0" w:hanging="0"/>
              <w:jc w:val="left"/>
              <w:rPr/>
            </w:pPr>
            <w:r>
              <w:rPr/>
              <w:t>​</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color w:val="000000"/>
                <w:sz w:val="20"/>
              </w:rPr>
            </w:pPr>
            <w:r>
              <w:rPr>
                <w:rFonts w:ascii="Times New Roman" w:hAnsi="Times New Roman"/>
                <w:b/>
                <w:caps w:val="false"/>
                <w:smallCaps w:val="false"/>
                <w:color w:val="000000"/>
                <w:sz w:val="20"/>
              </w:rPr>
              <w:t>June 30, 2026</w:t>
            </w:r>
          </w:p>
        </w:tc>
        <w:tc>
          <w:tcPr>
            <w:tcW w:w="185" w:type="dxa"/>
            <w:tcBorders/>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Face value of principal payable</w:t>
            </w:r>
          </w:p>
        </w:tc>
        <w:tc>
          <w:tcPr>
            <w:tcW w:w="23"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2,601</w:t>
            </w:r>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25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Strike price</w:t>
            </w:r>
          </w:p>
        </w:tc>
        <w:tc>
          <w:tcPr>
            <w:tcW w:w="23" w:type="dxa"/>
            <w:tcBorders/>
            <w:shd w:fill="FFFFFF" w:val="clear"/>
            <w:vAlign w:val="center"/>
          </w:tcPr>
          <w:p>
            <w:pPr>
              <w:pStyle w:val="TableContents"/>
              <w:bidi w:val="0"/>
              <w:spacing w:before="0" w:after="0"/>
              <w:ind w:left="0" w:right="0" w:hanging="0"/>
              <w:jc w:val="left"/>
              <w:rPr/>
            </w:pPr>
            <w:r>
              <w:rPr/>
              <w:t>​</w:t>
            </w:r>
          </w:p>
        </w:tc>
        <w:tc>
          <w:tcPr>
            <w:tcW w:w="243" w:type="dxa"/>
            <w:tcBorders/>
            <w:shd w:fill="FFFFFF" w:val="clear"/>
            <w:vAlign w:val="center"/>
          </w:tcPr>
          <w:p>
            <w:pPr>
              <w:pStyle w:val="TableContents"/>
              <w:bidi w:val="0"/>
              <w:spacing w:before="0" w:after="0"/>
              <w:ind w:left="0" w:right="0" w:hanging="0"/>
              <w:jc w:val="left"/>
              <w:rPr/>
            </w:pPr>
            <w:r>
              <w:rPr/>
              <w:t>​</w:t>
            </w:r>
          </w:p>
        </w:tc>
        <w:tc>
          <w:tcPr>
            <w:tcW w:w="94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3.01</w:t>
            </w:r>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 w:hAnsi="Times New Roman"/>
                <w:color w:val="000000"/>
                <w:sz w:val="20"/>
              </w:rPr>
            </w:pPr>
            <w:r>
              <w:rPr>
                <w:rFonts w:ascii="Times New Roman" w:hAnsi="Times New Roman"/>
                <w:color w:val="000000"/>
                <w:sz w:val="20"/>
              </w:rPr>
              <w:t>Value of common stock</w:t>
            </w:r>
          </w:p>
        </w:tc>
        <w:tc>
          <w:tcPr>
            <w:tcW w:w="23"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3.73</w:t>
            </w:r>
          </w:p>
        </w:tc>
        <w:tc>
          <w:tcPr>
            <w:tcW w:w="185" w:type="dxa"/>
            <w:tcBorders/>
            <w:shd w:fill="CCEEFF" w:val="clear"/>
            <w:vAlign w:val="center"/>
          </w:tcPr>
          <w:p>
            <w:pPr>
              <w:pStyle w:val="TableContents"/>
              <w:bidi w:val="0"/>
              <w:spacing w:before="0" w:after="0"/>
              <w:ind w:left="0" w:right="0" w:hanging="0"/>
              <w:jc w:val="left"/>
              <w:rPr/>
            </w:pPr>
            <w:r>
              <w:rPr/>
              <w:t>​</w:t>
            </w:r>
          </w:p>
        </w:tc>
      </w:tr>
      <w:tr>
        <w:trPr/>
        <w:tc>
          <w:tcPr>
            <w:tcW w:w="25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Expected term (years)</w:t>
            </w:r>
          </w:p>
        </w:tc>
        <w:tc>
          <w:tcPr>
            <w:tcW w:w="23" w:type="dxa"/>
            <w:tcBorders/>
            <w:shd w:fill="FFFFFF" w:val="clear"/>
            <w:vAlign w:val="center"/>
          </w:tcPr>
          <w:p>
            <w:pPr>
              <w:pStyle w:val="TableContents"/>
              <w:bidi w:val="0"/>
              <w:spacing w:before="0" w:after="0"/>
              <w:ind w:left="0" w:right="0" w:hanging="0"/>
              <w:jc w:val="left"/>
              <w:rPr/>
            </w:pPr>
            <w:r>
              <w:rPr/>
              <w:t>​</w:t>
            </w:r>
          </w:p>
        </w:tc>
        <w:tc>
          <w:tcPr>
            <w:tcW w:w="243" w:type="dxa"/>
            <w:tcBorders/>
            <w:shd w:fill="FFFFFF" w:val="clear"/>
            <w:vAlign w:val="center"/>
          </w:tcPr>
          <w:p>
            <w:pPr>
              <w:pStyle w:val="TableContents"/>
              <w:bidi w:val="0"/>
              <w:spacing w:before="0" w:after="0"/>
              <w:ind w:left="0" w:right="0" w:hanging="0"/>
              <w:jc w:val="left"/>
              <w:rPr/>
            </w:pPr>
            <w:r>
              <w:rPr/>
              <w:t>​</w:t>
            </w:r>
          </w:p>
        </w:tc>
        <w:tc>
          <w:tcPr>
            <w:tcW w:w="94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w:t>
            </w:r>
          </w:p>
        </w:tc>
        <w:tc>
          <w:tcPr>
            <w:tcW w:w="185" w:type="dxa"/>
            <w:tcBorders/>
            <w:shd w:fill="FFFFFF" w:val="clear"/>
            <w:vAlign w:val="center"/>
          </w:tcPr>
          <w:p>
            <w:pPr>
              <w:pStyle w:val="TableContents"/>
              <w:bidi w:val="0"/>
              <w:spacing w:before="0" w:after="0"/>
              <w:ind w:left="0" w:right="0" w:hanging="0"/>
              <w:jc w:val="left"/>
              <w:rPr/>
            </w:pPr>
            <w:r>
              <w:rPr/>
              <w:t>​</w:t>
            </w:r>
          </w:p>
        </w:tc>
      </w:tr>
      <w:tr>
        <w:trPr/>
        <w:tc>
          <w:tcPr>
            <w:tcW w:w="25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Volatility</w:t>
            </w:r>
          </w:p>
        </w:tc>
        <w:tc>
          <w:tcPr>
            <w:tcW w:w="23"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76.0</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Risk free rate</w:t>
            </w:r>
          </w:p>
        </w:tc>
        <w:tc>
          <w:tcPr>
            <w:tcW w:w="23" w:type="dxa"/>
            <w:tcBorders/>
            <w:shd w:fill="FFFFFF" w:val="clear"/>
            <w:vAlign w:val="center"/>
          </w:tcPr>
          <w:p>
            <w:pPr>
              <w:pStyle w:val="TableContents"/>
              <w:bidi w:val="0"/>
              <w:spacing w:before="0" w:after="0"/>
              <w:ind w:left="0" w:right="0" w:hanging="0"/>
              <w:jc w:val="left"/>
              <w:rPr/>
            </w:pPr>
            <w:r>
              <w:rPr/>
              <w:t>​</w:t>
            </w:r>
          </w:p>
        </w:tc>
        <w:tc>
          <w:tcPr>
            <w:tcW w:w="243" w:type="dxa"/>
            <w:tcBorders/>
            <w:shd w:fill="FFFFFF" w:val="clear"/>
            <w:vAlign w:val="center"/>
          </w:tcPr>
          <w:p>
            <w:pPr>
              <w:pStyle w:val="TableContents"/>
              <w:bidi w:val="0"/>
              <w:spacing w:before="0" w:after="0"/>
              <w:ind w:left="0" w:right="0" w:hanging="0"/>
              <w:jc w:val="left"/>
              <w:rPr/>
            </w:pPr>
            <w:r>
              <w:rPr/>
              <w:t>​</w:t>
            </w:r>
          </w:p>
        </w:tc>
        <w:tc>
          <w:tcPr>
            <w:tcW w:w="946"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w:t>
            </w:r>
          </w:p>
        </w:tc>
        <w:tc>
          <w:tcPr>
            <w:tcW w:w="18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5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color w:val="000000"/>
                <w:sz w:val="20"/>
              </w:rPr>
            </w:pPr>
            <w:r>
              <w:rPr>
                <w:rFonts w:ascii="Times New Roman" w:hAnsi="Times New Roman"/>
                <w:caps w:val="false"/>
                <w:smallCaps w:val="false"/>
                <w:color w:val="000000"/>
                <w:sz w:val="20"/>
              </w:rPr>
              <w:t>Discount rate</w:t>
            </w:r>
          </w:p>
        </w:tc>
        <w:tc>
          <w:tcPr>
            <w:tcW w:w="23" w:type="dxa"/>
            <w:tcBorders/>
            <w:shd w:fill="CCEEFF" w:val="clear"/>
            <w:vAlign w:val="center"/>
          </w:tcPr>
          <w:p>
            <w:pPr>
              <w:pStyle w:val="TableContents"/>
              <w:bidi w:val="0"/>
              <w:spacing w:before="0" w:after="0"/>
              <w:ind w:left="0" w:right="0" w:hanging="0"/>
              <w:jc w:val="left"/>
              <w:rPr/>
            </w:pPr>
            <w:r>
              <w:rPr/>
              <w:t>​</w:t>
            </w:r>
          </w:p>
        </w:tc>
        <w:tc>
          <w:tcPr>
            <w:tcW w:w="243" w:type="dxa"/>
            <w:tcBorders/>
            <w:shd w:fill="CCEEFF" w:val="clear"/>
            <w:vAlign w:val="center"/>
          </w:tcPr>
          <w:p>
            <w:pPr>
              <w:pStyle w:val="TableContents"/>
              <w:bidi w:val="0"/>
              <w:spacing w:before="0" w:after="0"/>
              <w:ind w:left="0" w:right="0" w:hanging="0"/>
              <w:jc w:val="left"/>
              <w:rPr/>
            </w:pPr>
            <w:r>
              <w:rPr/>
              <w:t>​</w:t>
            </w:r>
          </w:p>
        </w:tc>
        <w:tc>
          <w:tcPr>
            <w:tcW w:w="94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w:t>
            </w:r>
          </w:p>
        </w:tc>
        <w:tc>
          <w:tcPr>
            <w:tcW w:w="1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color w:val="000000"/>
          <w:sz w:val="20"/>
        </w:rPr>
        <w:t>Contingent Consideration </w:t>
      </w:r>
      <w:r>
        <w:rPr>
          <w:rFonts w:ascii="Times New Roman;Times;serif" w:hAnsi="Times New Roman;Times;serif"/>
          <w:color w:val="000000"/>
          <w:sz w:val="20"/>
        </w:rPr>
        <w:t>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In connection with the contingent consideration received related to the initial consolidation of TAPP Influencers Corp. ("TAPP") effective </w:t>
      </w:r>
      <w:r>
        <w:rPr>
          <w:rStyle w:val="Emphasis"/>
          <w:rFonts w:ascii="Times New Roman;Times;serif" w:hAnsi="Times New Roman;Times;serif"/>
          <w:sz w:val="20"/>
        </w:rPr>
        <w:t>January 9, 2023, </w:t>
      </w:r>
      <w:r>
        <w:rPr>
          <w:rFonts w:ascii="Times New Roman;Times;serif" w:hAnsi="Times New Roman;Times;serif"/>
          <w:sz w:val="20"/>
        </w:rPr>
        <w:t>the Company had to determine the fair value of the identified assets acquired and liabilities assumed. The Company determined that the estimated fair value of the net assets acquired, excluding the net working capital, was a Level </w:t>
      </w:r>
      <w:r>
        <w:rPr>
          <w:rStyle w:val="Emphasis"/>
          <w:rFonts w:ascii="Times New Roman;Times;serif" w:hAnsi="Times New Roman;Times;serif"/>
          <w:sz w:val="20"/>
        </w:rPr>
        <w:t>3</w:t>
      </w:r>
      <w:r>
        <w:rPr>
          <w:rFonts w:ascii="Times New Roman;Times;serif" w:hAnsi="Times New Roman;Times;serif"/>
          <w:sz w:val="20"/>
        </w:rPr>
        <w:t> measurement, as certain inputs to determine fair value were unobservable.</w:t>
      </w:r>
    </w:p>
    <w:p>
      <w:pPr>
        <w:pStyle w:val="TextBody"/>
        <w:bidi w:val="0"/>
        <w:spacing w:before="0" w:after="0"/>
        <w:ind w:left="0" w:right="0" w:hanging="0"/>
        <w:jc w:val="left"/>
        <w:rPr/>
      </w:pPr>
      <w:r>
        <w:rPr/>
        <w:t> </w:t>
      </w:r>
    </w:p>
    <w:tbl>
      <w:tblPr>
        <w:tblW w:w="3668" w:type="dxa"/>
        <w:jc w:val="left"/>
        <w:tblInd w:w="0" w:type="dxa"/>
        <w:tblLayout w:type="fixed"/>
        <w:tblCellMar>
          <w:top w:w="0" w:type="dxa"/>
          <w:left w:w="0" w:type="dxa"/>
          <w:bottom w:w="0" w:type="dxa"/>
          <w:right w:w="0" w:type="dxa"/>
        </w:tblCellMar>
      </w:tblPr>
      <w:tblGrid>
        <w:gridCol w:w="2870"/>
        <w:gridCol w:w="23"/>
        <w:gridCol w:w="209"/>
        <w:gridCol w:w="486"/>
        <w:gridCol w:w="80"/>
      </w:tblGrid>
      <w:tr>
        <w:trPr/>
        <w:tc>
          <w:tcPr>
            <w:tcW w:w="287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6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Amount</w:t>
            </w:r>
          </w:p>
        </w:tc>
        <w:tc>
          <w:tcPr>
            <w:tcW w:w="80" w:type="dxa"/>
            <w:tcBorders/>
            <w:vAlign w:val="center"/>
          </w:tcPr>
          <w:p>
            <w:pPr>
              <w:pStyle w:val="TableContents"/>
              <w:bidi w:val="0"/>
              <w:spacing w:before="0" w:after="0"/>
              <w:ind w:left="0" w:right="0" w:hanging="0"/>
              <w:jc w:val="left"/>
              <w:rPr/>
            </w:pPr>
            <w:r>
              <w:rPr/>
              <w:t>​</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as of December 31, 2025</w:t>
            </w:r>
          </w:p>
        </w:tc>
        <w:tc>
          <w:tcPr>
            <w:tcW w:w="23" w:type="dxa"/>
            <w:tcBorders/>
            <w:shd w:fill="CCEEFF" w:val="clear"/>
            <w:vAlign w:val="center"/>
          </w:tcPr>
          <w:p>
            <w:pPr>
              <w:pStyle w:val="TableContents"/>
              <w:bidi w:val="0"/>
              <w:spacing w:before="0" w:after="0"/>
              <w:ind w:left="0" w:right="0" w:hanging="0"/>
              <w:jc w:val="left"/>
              <w:rPr/>
            </w:pPr>
            <w:r>
              <w:rPr/>
              <w:t>​</w:t>
            </w:r>
          </w:p>
        </w:tc>
        <w:tc>
          <w:tcPr>
            <w:tcW w:w="209"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c>
          <w:tcPr>
            <w:tcW w:w="80" w:type="dxa"/>
            <w:tcBorders/>
            <w:shd w:fill="CCEEFF" w:val="clear"/>
            <w:vAlign w:val="center"/>
          </w:tcPr>
          <w:p>
            <w:pPr>
              <w:pStyle w:val="TableContents"/>
              <w:bidi w:val="0"/>
              <w:spacing w:before="0" w:after="0"/>
              <w:ind w:left="0" w:right="0" w:hanging="0"/>
              <w:jc w:val="left"/>
              <w:rPr/>
            </w:pPr>
            <w:r>
              <w:rPr/>
              <w:t>​</w:t>
            </w:r>
          </w:p>
        </w:tc>
      </w:tr>
      <w:tr>
        <w:trPr/>
        <w:tc>
          <w:tcPr>
            <w:tcW w:w="287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Payment of compensation expense</w:t>
            </w:r>
          </w:p>
        </w:tc>
        <w:tc>
          <w:tcPr>
            <w:tcW w:w="23" w:type="dxa"/>
            <w:tcBorders/>
            <w:shd w:fill="FFFFFF" w:val="clear"/>
            <w:vAlign w:val="center"/>
          </w:tcPr>
          <w:p>
            <w:pPr>
              <w:pStyle w:val="TableContents"/>
              <w:bidi w:val="0"/>
              <w:spacing w:before="0" w:after="0"/>
              <w:ind w:left="0" w:right="0" w:hanging="0"/>
              <w:jc w:val="left"/>
              <w:rPr/>
            </w:pPr>
            <w:r>
              <w:rPr/>
              <w:t>​</w:t>
            </w:r>
          </w:p>
        </w:tc>
        <w:tc>
          <w:tcPr>
            <w:tcW w:w="209"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486"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28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as of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209"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486"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w:t>
            </w:r>
          </w:p>
        </w:tc>
        <w:tc>
          <w:tcPr>
            <w:tcW w:w="80"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color w:val="000000"/>
          <w:sz w:val="20"/>
        </w:rPr>
        <w:t xml:space="preserve">The fair value of certain long-lived non-financial assets and liabilities </w:t>
      </w:r>
      <w:r>
        <w:rPr>
          <w:rStyle w:val="Emphasis"/>
          <w:rFonts w:ascii="Times New Roman;Times;serif" w:hAnsi="Times New Roman;Times;serif"/>
          <w:color w:val="000000"/>
          <w:sz w:val="20"/>
        </w:rPr>
        <w:t xml:space="preserve">may </w:t>
      </w:r>
      <w:r>
        <w:rPr>
          <w:rFonts w:ascii="Times New Roman;Times;serif" w:hAnsi="Times New Roman;Times;serif"/>
          <w:color w:val="000000"/>
          <w:sz w:val="20"/>
        </w:rPr>
        <w:t>be required to be measured on a nonrecurring basis in certain circumstances, including when there is evidence of impairment. As of </w:t>
      </w:r>
      <w:r>
        <w:rPr>
          <w:rStyle w:val="Emphasis"/>
          <w:rFonts w:ascii="Times New Roman;Times;serif" w:hAnsi="Times New Roman;Times;serif"/>
          <w:sz w:val="20"/>
        </w:rPr>
        <w:t xml:space="preserve"> June 30, 2026</w:t>
      </w:r>
      <w:r>
        <w:rPr>
          <w:rFonts w:ascii="Times New Roman;Times;serif" w:hAnsi="Times New Roman;Times;serif"/>
          <w:color w:val="000000"/>
          <w:sz w:val="20"/>
        </w:rPr>
        <w:t>, there were none.  See Note </w:t>
      </w:r>
      <w:r>
        <w:rPr>
          <w:rStyle w:val="Emphasis"/>
          <w:rFonts w:ascii="Times New Roman;Times;serif" w:hAnsi="Times New Roman;Times;serif"/>
          <w:sz w:val="20"/>
        </w:rPr>
        <w:t>1</w:t>
      </w:r>
      <w:r>
        <w:rPr>
          <w:rFonts w:ascii="Times New Roman;Times;serif" w:hAnsi="Times New Roman;Times;serif"/>
          <w:sz w:val="20"/>
        </w:rPr>
        <w:t>(g)</w:t>
      </w:r>
      <w:r>
        <w:rPr>
          <w:rFonts w:ascii="Times New Roman;Times;serif" w:hAnsi="Times New Roman;Times;serif"/>
          <w:color w:val="000000"/>
          <w:sz w:val="20"/>
        </w:rPr>
        <w:t>, </w:t>
      </w:r>
      <w:r>
        <w:rPr>
          <w:rFonts w:ascii="Times New Roman;Times;serif" w:hAnsi="Times New Roman;Times;serif"/>
          <w:i/>
          <w:color w:val="000000"/>
          <w:sz w:val="20"/>
        </w:rPr>
        <w:t>Goodwill. </w:t>
      </w:r>
      <w:r>
        <w:rPr>
          <w:rFonts w:ascii="Times New Roman;Times;serif" w:hAnsi="Times New Roman;Times;serif"/>
          <w:color w:val="000000"/>
          <w:sz w:val="20"/>
        </w:rPr>
        <w:t> </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b/>
          <w:sz w:val="20"/>
        </w:rPr>
        <w:t>6.</w:t>
      </w:r>
      <w:r>
        <w:rPr>
          <w:rFonts w:ascii="Times New Roman;Times;serif" w:hAnsi="Times New Roman;Times;serif"/>
          <w:b/>
          <w:sz w:val="20"/>
        </w:rPr>
        <w:t> Income taxes</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is subject to federal and state income taxes in the United States. The tax provision for interim periods is determined using an estimate of the Company's annual effective tax rate (“AETR”). The Company updates its estimated AETR on a quarterly basis and, if the estimate changes, records a cumulative adjustment.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December 31, 2025</w:t>
      </w:r>
      <w:r>
        <w:rPr>
          <w:rFonts w:ascii="Times New Roman;Times;serif" w:hAnsi="Times New Roman;Times;serif"/>
          <w:sz w:val="20"/>
        </w:rPr>
        <w:t>, the Company recorded a full valuation allowance against U.S. net deferred tax assets until there is sufficient evidence to support the release of all or a portion of these valuation allowances. Release of some or all of the valuation allowance would result in the recognition of certain deferred tax assets and an increase in deferred tax benefit for any period in which such a release </w:t>
      </w:r>
      <w:r>
        <w:rPr>
          <w:rStyle w:val="Emphasis"/>
          <w:rFonts w:ascii="Times New Roman;Times;serif" w:hAnsi="Times New Roman;Times;serif"/>
          <w:sz w:val="20"/>
        </w:rPr>
        <w:t xml:space="preserve"> may </w:t>
      </w:r>
      <w:r>
        <w:rPr>
          <w:rFonts w:ascii="Times New Roman;Times;serif" w:hAnsi="Times New Roman;Times;serif"/>
          <w:sz w:val="20"/>
        </w:rPr>
        <w:t>be recorded; however, the exact timing and amount of any valuation allowance release are subject to change depending upon the level of profitability that the Company is able to achieve and the net deferred tax assets available.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the Company's effective income tax rate of 0.1% differed from the statutory federal income tax rate of 21% primarily due to state and local tax expense and losses for which </w:t>
      </w:r>
      <w:r>
        <w:rPr>
          <w:rStyle w:val="Emphasis"/>
          <w:rFonts w:ascii="Times New Roman;Times;serif" w:hAnsi="Times New Roman;Times;serif"/>
          <w:sz w:val="20"/>
        </w:rPr>
        <w:t>no</w:t>
      </w:r>
      <w:r>
        <w:rPr>
          <w:rFonts w:ascii="Times New Roman;Times;serif" w:hAnsi="Times New Roman;Times;serif"/>
          <w:sz w:val="20"/>
        </w:rPr>
        <w:t xml:space="preserve"> tax benefit is recognized as such amounts are fully offset with a valuation allowance.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2025</w:t>
      </w:r>
      <w:r>
        <w:rPr>
          <w:rFonts w:ascii="Times New Roman;Times;serif" w:hAnsi="Times New Roman;Times;serif"/>
          <w:sz w:val="20"/>
        </w:rPr>
        <w:t xml:space="preserve">, the Company's effective income tax rate of 0.8% primarily represented state and local tax expense and losses for which </w:t>
      </w:r>
      <w:r>
        <w:rPr>
          <w:rStyle w:val="Emphasis"/>
          <w:rFonts w:ascii="Times New Roman;Times;serif" w:hAnsi="Times New Roman;Times;serif"/>
          <w:sz w:val="20"/>
        </w:rPr>
        <w:t>no</w:t>
      </w:r>
      <w:r>
        <w:rPr>
          <w:rFonts w:ascii="Times New Roman;Times;serif" w:hAnsi="Times New Roman;Times;serif"/>
          <w:sz w:val="20"/>
        </w:rPr>
        <w:t xml:space="preserve"> tax benefit was recognized.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The Company assesses its income tax positions and records tax benefits for all years subject to examination based upon its evaluation of the facts, circumstances, and information available as of the reporting dates. For those tax positions where it is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 tax benefit will be sustained, the Company has recorded the largest amount of tax benefit with a greater than </w:t>
      </w:r>
      <w:r>
        <w:rPr>
          <w:rStyle w:val="Emphasis"/>
          <w:rFonts w:ascii="Times New Roman" w:hAnsi="Times New Roman"/>
          <w:caps w:val="false"/>
          <w:smallCaps w:val="false"/>
          <w:sz w:val="20"/>
        </w:rPr>
        <w:t>50%</w:t>
      </w:r>
      <w:r>
        <w:rPr>
          <w:rFonts w:ascii="Times New Roman" w:hAnsi="Times New Roman"/>
          <w:caps w:val="false"/>
          <w:smallCaps w:val="false"/>
          <w:sz w:val="20"/>
        </w:rPr>
        <w:t xml:space="preserve"> likelihood of being realized upon ultimate settlement with a taxing authority that has full knowledge of all relevant information. For those income tax positions where it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more-likely-than-</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that a tax benefit will be sustained, no tax benefit has been recognized in the Company's financial statements.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Times;serif" w:hAnsi="Times New Roman;Times;serif"/>
          <w:b/>
          <w:sz w:val="20"/>
        </w:rPr>
        <w:t>7.</w:t>
      </w:r>
      <w:r>
        <w:rPr>
          <w:rFonts w:ascii="Times New Roman;Times;serif" w:hAnsi="Times New Roman;Times;serif"/>
          <w:b/>
          <w:sz w:val="20"/>
        </w:rPr>
        <w:t xml:space="preserve"> Equity</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Common stock</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and </w:t>
      </w:r>
      <w:r>
        <w:rPr>
          <w:rStyle w:val="Emphasis"/>
          <w:rFonts w:ascii="Times New Roman" w:hAnsi="Times New Roman"/>
          <w:caps w:val="false"/>
          <w:smallCaps w:val="false"/>
          <w:sz w:val="20"/>
        </w:rPr>
        <w:t xml:space="preserve"> December 31, 2025</w:t>
      </w:r>
      <w:r>
        <w:rPr>
          <w:rFonts w:ascii="Times New Roman" w:hAnsi="Times New Roman"/>
          <w:caps w:val="false"/>
          <w:smallCaps w:val="false"/>
          <w:sz w:val="20"/>
        </w:rPr>
        <w:t>, the number of issued shares of common stock was 32,362,277 and 30,404,779, respectively, which included shares of treasury stock of 768,595 and 768,595,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the increase in the number of issued shares of common stock was the result of the exercise of pre-funded warrants for 1,444,129 shares of common stock and the issuance of 513,369 shares of common stock issued upon vesting of RSUs, in which no shares of common stock were withheld to cover statutory taxes upon such vesting.</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Private placements</w:t>
      </w:r>
      <w:r>
        <w:rPr>
          <w:rFonts w:ascii="Times New Roman;Times;serif" w:hAnsi="Times New Roman;Times;serif"/>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November 29, 2024, </w:t>
      </w:r>
      <w:r>
        <w:rPr>
          <w:rFonts w:ascii="Times New Roman" w:hAnsi="Times New Roman"/>
          <w:caps w:val="false"/>
          <w:smallCaps w:val="false"/>
          <w:sz w:val="20"/>
        </w:rPr>
        <w:t xml:space="preserve">the Company entered into securities purchase agreements (the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Purchase Agreements") with certain accredited or sophisticated investors (the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Purchasers"), all of whom were related parties, pursuant to which the Company sold  to the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Purchasers unregistered pre-funded warrants (the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PFWs") to purchase up to 1,187,802 shares of the Company’s common stock, at a purchase price of $2.3147 per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PFW and an exercise price of $0.0005 per share of common stock (the </w:t>
      </w:r>
      <w:r>
        <w:rPr>
          <w:rStyle w:val="Emphasis"/>
          <w:rFonts w:ascii="Times New Roman" w:hAnsi="Times New Roman"/>
          <w:caps w:val="false"/>
          <w:smallCaps w:val="false"/>
          <w:sz w:val="20"/>
        </w:rPr>
        <w:t xml:space="preserve">"December </w:t>
      </w:r>
      <w:r>
        <w:rPr>
          <w:rFonts w:ascii="Times New Roman" w:hAnsi="Times New Roman"/>
          <w:caps w:val="false"/>
          <w:smallCaps w:val="false"/>
          <w:sz w:val="20"/>
        </w:rPr>
        <w:t xml:space="preserve">Private Placement"). The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Purchasers consisted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officers and/or directors and the largest stockholder of the Company. No underwriting discounts or commissions were paid with respect to the </w:t>
      </w:r>
      <w:r>
        <w:rPr>
          <w:rStyle w:val="Emphasis"/>
          <w:rFonts w:ascii="Times New Roman" w:hAnsi="Times New Roman"/>
          <w:caps w:val="false"/>
          <w:smallCaps w:val="false"/>
          <w:sz w:val="20"/>
        </w:rPr>
        <w:t>December </w:t>
      </w:r>
      <w:r>
        <w:rPr>
          <w:rFonts w:ascii="Times New Roman" w:hAnsi="Times New Roman"/>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closed the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Private Placement on </w:t>
      </w:r>
      <w:r>
        <w:rPr>
          <w:rStyle w:val="Emphasis"/>
          <w:rFonts w:ascii="Times New Roman" w:hAnsi="Times New Roman"/>
          <w:caps w:val="false"/>
          <w:smallCaps w:val="false"/>
          <w:sz w:val="20"/>
        </w:rPr>
        <w:t xml:space="preserve">December 2, 2024, </w:t>
      </w:r>
      <w:r>
        <w:rPr>
          <w:rFonts w:ascii="Times New Roman" w:hAnsi="Times New Roman"/>
          <w:caps w:val="false"/>
          <w:smallCaps w:val="false"/>
          <w:sz w:val="20"/>
        </w:rPr>
        <w:t xml:space="preserve">with aggregate gross proceeds totaling $2,750, before deducting offering expenses payable by the Company of $22. The Company's largest stockholder exercised its warrant on </w:t>
      </w:r>
      <w:r>
        <w:rPr>
          <w:rStyle w:val="Emphasis"/>
          <w:rFonts w:ascii="Times New Roman" w:hAnsi="Times New Roman"/>
          <w:caps w:val="false"/>
          <w:smallCaps w:val="false"/>
          <w:sz w:val="20"/>
        </w:rPr>
        <w:t xml:space="preserve">December 9, 2024.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PFWs purchased by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officers and/or directors of the Company were subject to stockholder approval, which was obtained on </w:t>
      </w:r>
      <w:r>
        <w:rPr>
          <w:rStyle w:val="Emphasis"/>
          <w:rFonts w:ascii="Times New Roman" w:hAnsi="Times New Roman"/>
          <w:caps w:val="false"/>
          <w:smallCaps w:val="false"/>
          <w:sz w:val="20"/>
        </w:rPr>
        <w:t xml:space="preserve">June 18, 2025, </w:t>
      </w:r>
      <w:r>
        <w:rPr>
          <w:rFonts w:ascii="Times New Roman" w:hAnsi="Times New Roman"/>
          <w:caps w:val="false"/>
          <w:smallCaps w:val="false"/>
          <w:sz w:val="20"/>
        </w:rPr>
        <w:t xml:space="preserve">and terminated when exercised in full. The officers and/or directors exercised their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PFWs on </w:t>
      </w:r>
      <w:r>
        <w:rPr>
          <w:rStyle w:val="Emphasis"/>
          <w:rFonts w:ascii="Times New Roman" w:hAnsi="Times New Roman"/>
          <w:caps w:val="false"/>
          <w:smallCaps w:val="false"/>
          <w:sz w:val="20"/>
        </w:rPr>
        <w:t>June 24,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March 19, 2025,</w:t>
      </w:r>
      <w:r>
        <w:rPr>
          <w:rFonts w:ascii="Times New Roman" w:hAnsi="Times New Roman"/>
          <w:caps w:val="false"/>
          <w:smallCaps w:val="false"/>
          <w:sz w:val="20"/>
        </w:rPr>
        <w:t xml:space="preserve"> the Company entered into securities purchase agreements (the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Purchase Agreements") with certain accredited or sophisticated investors (the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Purchasers"), all of whom were related parties, pursuant to which the Company sold to the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Purchasers unregistered pre-funded warrants (the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PFWs") to purchase up to 2,332,104 shares of the Company's common stock, at a purchase price of $2.174 per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PFW and an exercise price of $0.0005 per share of common stock (the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Private Placement"). The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Purchasers consisted of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officers and/or directors of the Company, the Company's largest stockholder, and an institutional investor.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underwriting discounts or commissions were paid with respect to the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aggregate gross proceeds totaled $5,070, before deducting offering expenses payable by the Company of $70. The Company's largest stockholder and an institutional investor exercised their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PFWs on </w:t>
      </w:r>
      <w:r>
        <w:rPr>
          <w:rStyle w:val="Emphasis"/>
          <w:rFonts w:ascii="Times New Roman" w:hAnsi="Times New Roman"/>
          <w:caps w:val="false"/>
          <w:smallCaps w:val="false"/>
          <w:sz w:val="20"/>
        </w:rPr>
        <w:t xml:space="preserve">March 20, 2025.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PFWs purchased by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officers and/or directors of the Company were subject to stockholder approval, which was obtained on </w:t>
      </w:r>
      <w:r>
        <w:rPr>
          <w:rStyle w:val="Emphasis"/>
          <w:rFonts w:ascii="Times New Roman" w:hAnsi="Times New Roman"/>
          <w:caps w:val="false"/>
          <w:smallCaps w:val="false"/>
          <w:sz w:val="20"/>
        </w:rPr>
        <w:t xml:space="preserve">June 18, 2025, </w:t>
      </w:r>
      <w:r>
        <w:rPr>
          <w:rFonts w:ascii="Times New Roman" w:hAnsi="Times New Roman"/>
          <w:caps w:val="false"/>
          <w:smallCaps w:val="false"/>
          <w:sz w:val="20"/>
        </w:rPr>
        <w:t xml:space="preserve">and terminated when exercised in full. The officers and/or directors exercised their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PFWs on </w:t>
      </w:r>
      <w:r>
        <w:rPr>
          <w:rStyle w:val="Emphasis"/>
          <w:rFonts w:ascii="Times New Roman" w:hAnsi="Times New Roman"/>
          <w:caps w:val="false"/>
          <w:smallCaps w:val="false"/>
          <w:sz w:val="20"/>
        </w:rPr>
        <w:t>June 24, 2025.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May 15,</w:t>
      </w:r>
      <w:r>
        <w:rPr>
          <w:rFonts w:ascii="Times New Roman" w:hAnsi="Times New Roman"/>
          <w:caps w:val="false"/>
          <w:smallCaps w:val="false"/>
          <w:sz w:val="20"/>
        </w:rPr>
        <w:t>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the Company entered into securities purchase agreements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Purchase Agreements") with certain accredited or sophisticated investors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Purchasers"), all of whom were related parties, pursuant to which the Company sold to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Purchasers (i) unregistered pre-funded warrants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PFWs") to purchase up to 1,829,956 shares of the Company’s common stock, and (ii) unregistered warrants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CSWs") to purchase up to 1,829,956 shares of the Company’s common stock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Private Placement").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PFWs had a purchase price of $2.1995, have an exercise price of $0.0005 per share of common stock, will become immediately exercisable after stockholder approval and will terminate when exercised in full.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CSWs  have an exercise price of $2.20 and will expire three years from the issuance date.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Purchasers consisted of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officers and/or directors, the Company’s largest stockholder, and institutional investors or others for whom they have or share beneficial ownership. No underwriting discounts or commissions were paid with respect to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Private Placement.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aggregate gross proceeds totaled $4,025, before deducting offering expenses payable by the Company of $54. The allocation of the fair values was $2,671 for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PFWs and $1,354 for 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CSWs. The Company's largest stockholder exercised its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PFWs on </w:t>
      </w:r>
      <w:r>
        <w:rPr>
          <w:rStyle w:val="Emphasis"/>
          <w:rFonts w:ascii="Times New Roman" w:hAnsi="Times New Roman"/>
          <w:caps w:val="false"/>
          <w:smallCaps w:val="false"/>
          <w:sz w:val="20"/>
        </w:rPr>
        <w:t xml:space="preserve">May 19, 2025. </w:t>
      </w: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PFWs purchased by the </w:t>
      </w:r>
      <w:r>
        <w:rPr>
          <w:rStyle w:val="Emphasis"/>
          <w:rFonts w:ascii="Times New Roman" w:hAnsi="Times New Roman"/>
          <w:caps w:val="false"/>
          <w:smallCaps w:val="false"/>
          <w:sz w:val="20"/>
        </w:rPr>
        <w:t>four</w:t>
      </w:r>
      <w:r>
        <w:rPr>
          <w:rFonts w:ascii="Times New Roman" w:hAnsi="Times New Roman"/>
          <w:caps w:val="false"/>
          <w:smallCaps w:val="false"/>
          <w:sz w:val="20"/>
        </w:rPr>
        <w:t xml:space="preserve"> officers and/or directors of the Company were subject to stockholder approval, which was obtained on </w:t>
      </w:r>
      <w:r>
        <w:rPr>
          <w:rStyle w:val="Emphasis"/>
          <w:rFonts w:ascii="Times New Roman" w:hAnsi="Times New Roman"/>
          <w:caps w:val="false"/>
          <w:smallCaps w:val="false"/>
          <w:sz w:val="20"/>
        </w:rPr>
        <w:t xml:space="preserve">June 17, 2026, </w:t>
      </w:r>
      <w:r>
        <w:rPr>
          <w:rFonts w:ascii="Times New Roman" w:hAnsi="Times New Roman"/>
          <w:caps w:val="false"/>
          <w:smallCaps w:val="false"/>
          <w:sz w:val="20"/>
        </w:rPr>
        <w:t xml:space="preserve">and were subsequently exercised as of </w:t>
      </w:r>
      <w:r>
        <w:rPr>
          <w:rStyle w:val="Emphasis"/>
          <w:rFonts w:ascii="Times New Roman" w:hAnsi="Times New Roman"/>
          <w:caps w:val="false"/>
          <w:smallCaps w:val="false"/>
          <w:sz w:val="20"/>
        </w:rPr>
        <w:t>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August 19, 2025, </w:t>
      </w:r>
      <w:r>
        <w:rPr>
          <w:rFonts w:ascii="Times New Roman" w:hAnsi="Times New Roman"/>
          <w:caps w:val="false"/>
          <w:smallCaps w:val="false"/>
          <w:sz w:val="20"/>
        </w:rPr>
        <w:t xml:space="preserve">the Company entered into securities purchase agreements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Purchase Agreements") with certain officers and/or directors of the Company or others for whom they have or share beneficial ownership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Inside Investors”), the largest stockholder of the Company and other accredited investors, (collectively, together with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Inside Investors,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Purchasers”), pursuant to which the Company sold to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Purchasers (i) 3,542,856 unregistered shares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Shares”) of common stock, (ii) unregistered pre-funded warrants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PFWs") to purchase up to 2,328,571 shares of the Company’s common stock, and (iii) unregistered warrants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CSWs" and, together with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PFWs,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Warrants") to purchase up to 5,871,427 shares of the Company’s common stock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Private Placement").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Each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Share and accompanying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CSW were sold together at a purchase price of $1.75 per share and accompanying warrant, and each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PFW and accompanying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CSWs were sold together at a purchase price of $1.7495 per pre-funded warrant and accompanying common stock warrant, for aggregate gross proceeds of approximately $10,275 before deducting estimated offering expenses of approximately $742 payable by the Company. The allocation of the fair values was $3,271 for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Shares, $2,150 for the </w:t>
      </w:r>
      <w:r>
        <w:rPr>
          <w:rStyle w:val="Emphasis"/>
          <w:rFonts w:ascii="Times New Roman" w:hAnsi="Times New Roman"/>
          <w:caps w:val="false"/>
          <w:smallCaps w:val="false"/>
          <w:sz w:val="20"/>
        </w:rPr>
        <w:t>August 2025</w:t>
      </w:r>
      <w:r>
        <w:rPr>
          <w:rFonts w:ascii="Times New Roman" w:hAnsi="Times New Roman"/>
          <w:caps w:val="false"/>
          <w:smallCaps w:val="false"/>
          <w:sz w:val="20"/>
        </w:rPr>
        <w:t xml:space="preserve"> PFWs and $4,854 for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CSWs.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PFWs had an exercise price of $0.0005 per share of common stock and were immediately exercisable upon issuance for all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Purchasers other than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Inside Investors. Nearly all of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Purchasers (other than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Inside Investors) exercised their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PFWs during the month of </w:t>
      </w:r>
      <w:r>
        <w:rPr>
          <w:rStyle w:val="Emphasis"/>
          <w:rFonts w:ascii="Times New Roman" w:hAnsi="Times New Roman"/>
          <w:caps w:val="false"/>
          <w:smallCaps w:val="false"/>
          <w:sz w:val="20"/>
        </w:rPr>
        <w:t xml:space="preserve">September 2025, </w:t>
      </w:r>
      <w:r>
        <w:rPr>
          <w:rFonts w:ascii="Times New Roman" w:hAnsi="Times New Roman"/>
          <w:caps w:val="false"/>
          <w:smallCaps w:val="false"/>
          <w:sz w:val="20"/>
        </w:rPr>
        <w:t xml:space="preserve">for an aggregate of 1,657,143 shares of common stock, with the additional 85,714 shares related to non-affiliates being exercised in </w:t>
      </w:r>
      <w:r>
        <w:rPr>
          <w:rStyle w:val="Emphasis"/>
          <w:rFonts w:ascii="Times New Roman" w:hAnsi="Times New Roman"/>
          <w:caps w:val="false"/>
          <w:smallCaps w:val="false"/>
          <w:sz w:val="20"/>
        </w:rPr>
        <w:t xml:space="preserve">February 2026. </w:t>
      </w:r>
      <w:r>
        <w:rPr>
          <w:rFonts w:ascii="Times New Roman" w:hAnsi="Times New Roman"/>
          <w:caps w:val="false"/>
          <w:smallCaps w:val="false"/>
          <w:sz w:val="20"/>
        </w:rPr>
        <w:t xml:space="preserve">The remaining unexercised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PFWs to purchase 585,714 shares of common stock, all of which were held by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Inside Investors, were subject to stockholder approval, which was obtained on </w:t>
      </w:r>
      <w:r>
        <w:rPr>
          <w:rStyle w:val="Emphasis"/>
          <w:rFonts w:ascii="Times New Roman" w:hAnsi="Times New Roman"/>
          <w:caps w:val="false"/>
          <w:smallCaps w:val="false"/>
          <w:sz w:val="20"/>
        </w:rPr>
        <w:t xml:space="preserve">June 17, 2026, </w:t>
      </w:r>
      <w:r>
        <w:rPr>
          <w:rFonts w:ascii="Times New Roman" w:hAnsi="Times New Roman"/>
          <w:caps w:val="false"/>
          <w:smallCaps w:val="false"/>
          <w:sz w:val="20"/>
        </w:rPr>
        <w:t xml:space="preserve">and were subsequently exercised as of </w:t>
      </w:r>
      <w:r>
        <w:rPr>
          <w:rStyle w:val="Emphasis"/>
          <w:rFonts w:ascii="Times New Roman" w:hAnsi="Times New Roman"/>
          <w:caps w:val="false"/>
          <w:smallCaps w:val="false"/>
          <w:sz w:val="20"/>
        </w:rPr>
        <w:t>June 30, 2026.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CSWs are exercisable for a period of five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-half years from the date of issuance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exercised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and </w:t>
      </w:r>
      <w:r>
        <w:rPr>
          <w:rStyle w:val="Emphasis"/>
          <w:rFonts w:ascii="Times New Roman" w:hAnsi="Times New Roman"/>
          <w:caps w:val="false"/>
          <w:smallCaps w:val="false"/>
          <w:sz w:val="20"/>
        </w:rPr>
        <w:t>one</w:t>
      </w:r>
      <w:r>
        <w:rPr>
          <w:rFonts w:ascii="Times New Roman" w:hAnsi="Times New Roman"/>
          <w:caps w:val="false"/>
          <w:smallCaps w:val="false"/>
          <w:sz w:val="20"/>
        </w:rPr>
        <w:t xml:space="preserve"> day from the date of issuance at an exercise price of $2.21 per share, subject to adjustment. The Company is prohibited from effecting an exercise of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Warrants to the extent that, as a result of such exercise, the holder together with the holder’s affiliates, would beneficially own more than 4.99% (or, at the election of the holder, 9.99%) of the number of shares of common stock outstanding immediately after giving effect to the issuance of shares of common stock upon exercise of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Warrants, which beneficial ownership limitation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be increased by the holder up to, but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exceeding, 9.99%.</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In connection with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 xml:space="preserve">Private Placement, on </w:t>
      </w:r>
      <w:r>
        <w:rPr>
          <w:rStyle w:val="Emphasis"/>
          <w:rFonts w:ascii="Times New Roman" w:hAnsi="Times New Roman"/>
          <w:caps w:val="false"/>
          <w:smallCaps w:val="false"/>
          <w:sz w:val="20"/>
        </w:rPr>
        <w:t xml:space="preserve">August 19, 2025, </w:t>
      </w:r>
      <w:r>
        <w:rPr>
          <w:rFonts w:ascii="Times New Roman" w:hAnsi="Times New Roman"/>
          <w:caps w:val="false"/>
          <w:smallCaps w:val="false"/>
          <w:sz w:val="20"/>
        </w:rPr>
        <w:t xml:space="preserve">the Company entered into a registration rights agreement (the “Registration Rights Agreement”) with the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Purchasers pursuant to which the Company was required to file a registration statement covering the resale of the Registrable Securities (as defined in the Registration Rights Agreement). The Company filed a registration statement on Form S-</w:t>
      </w:r>
      <w:r>
        <w:rPr>
          <w:rStyle w:val="Emphasis"/>
          <w:rFonts w:ascii="Times New Roman" w:hAnsi="Times New Roman"/>
          <w:caps w:val="false"/>
          <w:smallCaps w:val="false"/>
          <w:sz w:val="20"/>
        </w:rPr>
        <w:t>3</w:t>
      </w:r>
      <w:r>
        <w:rPr>
          <w:rFonts w:ascii="Times New Roman" w:hAnsi="Times New Roman"/>
          <w:caps w:val="false"/>
          <w:smallCaps w:val="false"/>
          <w:sz w:val="20"/>
        </w:rPr>
        <w:t xml:space="preserve"> with the SEC on </w:t>
      </w:r>
      <w:r>
        <w:rPr>
          <w:rStyle w:val="Emphasis"/>
          <w:rFonts w:ascii="Times New Roman" w:hAnsi="Times New Roman"/>
          <w:caps w:val="false"/>
          <w:smallCaps w:val="false"/>
          <w:sz w:val="20"/>
        </w:rPr>
        <w:t xml:space="preserve">September 15, 2025, </w:t>
      </w:r>
      <w:r>
        <w:rPr>
          <w:rFonts w:ascii="Times New Roman" w:hAnsi="Times New Roman"/>
          <w:caps w:val="false"/>
          <w:smallCaps w:val="false"/>
          <w:sz w:val="20"/>
        </w:rPr>
        <w:t xml:space="preserve">and it was declared effective on </w:t>
      </w:r>
      <w:r>
        <w:rPr>
          <w:rStyle w:val="Emphasis"/>
          <w:rFonts w:ascii="Times New Roman" w:hAnsi="Times New Roman"/>
          <w:caps w:val="false"/>
          <w:smallCaps w:val="false"/>
          <w:sz w:val="20"/>
        </w:rPr>
        <w:t>September 24, 2025.</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an aggregate of 7,029,543 and 5,585,216 respectively, of the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PFWs,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PFWs, </w:t>
      </w:r>
      <w:r>
        <w:rPr>
          <w:rStyle w:val="Emphasis"/>
          <w:rFonts w:ascii="Times New Roman" w:hAnsi="Times New Roman"/>
          <w:caps w:val="false"/>
          <w:smallCaps w:val="false"/>
          <w:sz w:val="20"/>
        </w:rPr>
        <w:t xml:space="preserve"> May 2025 </w:t>
      </w:r>
      <w:r>
        <w:rPr>
          <w:rFonts w:ascii="Times New Roman" w:hAnsi="Times New Roman"/>
          <w:caps w:val="false"/>
          <w:smallCaps w:val="false"/>
          <w:sz w:val="20"/>
        </w:rPr>
        <w:t xml:space="preserve">PFWs, and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PFWs were exercised. For a portion, the exercise was cashless in nature.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issuance of the </w:t>
      </w:r>
      <w:r>
        <w:rPr>
          <w:rStyle w:val="Emphasis"/>
          <w:rFonts w:ascii="Times New Roman" w:hAnsi="Times New Roman"/>
          <w:caps w:val="false"/>
          <w:smallCaps w:val="false"/>
          <w:sz w:val="20"/>
        </w:rPr>
        <w:t xml:space="preserve">December 2024 </w:t>
      </w:r>
      <w:r>
        <w:rPr>
          <w:rFonts w:ascii="Times New Roman" w:hAnsi="Times New Roman"/>
          <w:caps w:val="false"/>
          <w:smallCaps w:val="false"/>
          <w:sz w:val="20"/>
        </w:rPr>
        <w:t xml:space="preserve">PFWs,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PFWs,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PFWs, and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PFWs was reflected in the Company's stockholders' equity within common stock and additional paid-in-capital. In accordance with ASC </w:t>
      </w:r>
      <w:r>
        <w:rPr>
          <w:rStyle w:val="Emphasis"/>
          <w:rFonts w:ascii="Times New Roman" w:hAnsi="Times New Roman"/>
          <w:caps w:val="false"/>
          <w:smallCaps w:val="false"/>
          <w:sz w:val="20"/>
        </w:rPr>
        <w:t>815</w:t>
      </w:r>
      <w:r>
        <w:rPr>
          <w:rFonts w:ascii="Times New Roman" w:hAnsi="Times New Roman"/>
          <w:caps w:val="false"/>
          <w:smallCaps w:val="false"/>
          <w:sz w:val="20"/>
        </w:rPr>
        <w:t>-</w:t>
      </w:r>
      <w:r>
        <w:rPr>
          <w:rStyle w:val="Emphasis"/>
          <w:rFonts w:ascii="Times New Roman" w:hAnsi="Times New Roman"/>
          <w:caps w:val="false"/>
          <w:smallCaps w:val="false"/>
          <w:sz w:val="20"/>
        </w:rPr>
        <w:t>40,</w:t>
      </w:r>
      <w:r>
        <w:rPr>
          <w:rFonts w:ascii="Times New Roman" w:hAnsi="Times New Roman"/>
          <w:caps w:val="false"/>
          <w:smallCaps w:val="false"/>
          <w:sz w:val="20"/>
        </w:rPr>
        <w:t> </w:t>
      </w:r>
      <w:r>
        <w:rPr>
          <w:rFonts w:ascii="Times New Roman" w:hAnsi="Times New Roman"/>
          <w:i/>
          <w:caps w:val="false"/>
          <w:smallCaps w:val="false"/>
          <w:sz w:val="20"/>
        </w:rPr>
        <w:t>Derivatives and Hedging</w:t>
      </w:r>
      <w:r>
        <w:rPr>
          <w:rFonts w:ascii="Times New Roman" w:hAnsi="Times New Roman"/>
          <w:caps w:val="false"/>
          <w:smallCaps w:val="false"/>
          <w:sz w:val="20"/>
        </w:rPr>
        <w:t>, a contract is classified as an equity agreement if it is both indexed to its own stock and classified in stockholders' equity. The </w:t>
      </w:r>
      <w:r>
        <w:rPr>
          <w:rStyle w:val="Emphasis"/>
          <w:rFonts w:ascii="Times New Roman" w:hAnsi="Times New Roman"/>
          <w:caps w:val="false"/>
          <w:smallCaps w:val="false"/>
          <w:sz w:val="20"/>
        </w:rPr>
        <w:t xml:space="preserve"> December 2024 </w:t>
      </w:r>
      <w:r>
        <w:rPr>
          <w:rFonts w:ascii="Times New Roman" w:hAnsi="Times New Roman"/>
          <w:caps w:val="false"/>
          <w:smallCaps w:val="false"/>
          <w:sz w:val="20"/>
        </w:rPr>
        <w:t xml:space="preserve">PFWs, </w:t>
      </w:r>
      <w:r>
        <w:rPr>
          <w:rStyle w:val="Emphasis"/>
          <w:rFonts w:ascii="Times New Roman" w:hAnsi="Times New Roman"/>
          <w:caps w:val="false"/>
          <w:smallCaps w:val="false"/>
          <w:sz w:val="20"/>
        </w:rPr>
        <w:t xml:space="preserve">March 2025 </w:t>
      </w:r>
      <w:r>
        <w:rPr>
          <w:rFonts w:ascii="Times New Roman" w:hAnsi="Times New Roman"/>
          <w:caps w:val="false"/>
          <w:smallCaps w:val="false"/>
          <w:sz w:val="20"/>
        </w:rPr>
        <w:t xml:space="preserve">PFWs, </w:t>
      </w:r>
      <w:r>
        <w:rPr>
          <w:rStyle w:val="Emphasis"/>
          <w:rFonts w:ascii="Times New Roman" w:hAnsi="Times New Roman"/>
          <w:caps w:val="false"/>
          <w:smallCaps w:val="false"/>
          <w:sz w:val="20"/>
        </w:rPr>
        <w:t xml:space="preserve">May 2025 </w:t>
      </w:r>
      <w:r>
        <w:rPr>
          <w:rFonts w:ascii="Times New Roman" w:hAnsi="Times New Roman"/>
          <w:caps w:val="false"/>
          <w:smallCaps w:val="false"/>
          <w:sz w:val="20"/>
        </w:rPr>
        <w:t xml:space="preserve">PFWs, and </w:t>
      </w:r>
      <w:r>
        <w:rPr>
          <w:rStyle w:val="Emphasis"/>
          <w:rFonts w:ascii="Times New Roman" w:hAnsi="Times New Roman"/>
          <w:caps w:val="false"/>
          <w:smallCaps w:val="false"/>
          <w:sz w:val="20"/>
        </w:rPr>
        <w:t xml:space="preserve">August 2025 </w:t>
      </w:r>
      <w:r>
        <w:rPr>
          <w:rFonts w:ascii="Times New Roman" w:hAnsi="Times New Roman"/>
          <w:caps w:val="false"/>
          <w:smallCaps w:val="false"/>
          <w:sz w:val="20"/>
        </w:rPr>
        <w:t>PFWs met the requirements of being classified as equity because (i) they had a fixed share limit and the Company had sufficient authorized and unissued shares, (ii) they required physical or net share settlement, and (iii) </w:t>
      </w:r>
      <w:r>
        <w:rPr>
          <w:rStyle w:val="Emphasis"/>
          <w:rFonts w:ascii="Times New Roman" w:hAnsi="Times New Roman"/>
          <w:caps w:val="false"/>
          <w:smallCaps w:val="false"/>
          <w:sz w:val="20"/>
        </w:rPr>
        <w:t>no</w:t>
      </w:r>
      <w:r>
        <w:rPr>
          <w:rFonts w:ascii="Times New Roman" w:hAnsi="Times New Roman"/>
          <w:caps w:val="false"/>
          <w:smallCaps w:val="false"/>
          <w:sz w:val="20"/>
        </w:rPr>
        <w:t> cash payments or settlement top-off was required by the Company.​​​​​</w:t>
      </w:r>
    </w:p>
    <w:p>
      <w:pPr>
        <w:pStyle w:val="TextBody"/>
        <w:bidi w:val="0"/>
        <w:spacing w:before="0" w:after="0"/>
        <w:ind w:left="160" w:right="0" w:hanging="0"/>
        <w:jc w:val="center"/>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Common stock warrants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December 31, 2025</w:t>
      </w:r>
      <w:r>
        <w:rPr>
          <w:rFonts w:ascii="Times New Roman;Times;serif" w:hAnsi="Times New Roman;Times;serif"/>
          <w:sz w:val="20"/>
        </w:rPr>
        <w:t xml:space="preserve">, the Company had 7,701,383 and 7,701,383 common stock warrants outstanding, respectively. The Company determined that the detachable common stock warrants issued in connection with the </w:t>
      </w:r>
      <w:r>
        <w:rPr>
          <w:rStyle w:val="Emphasis"/>
          <w:rFonts w:ascii="Times New Roman;Times;serif" w:hAnsi="Times New Roman;Times;serif"/>
          <w:sz w:val="20"/>
        </w:rPr>
        <w:t xml:space="preserve">May 2025 </w:t>
      </w:r>
      <w:r>
        <w:rPr>
          <w:rFonts w:ascii="Times New Roman;Times;serif" w:hAnsi="Times New Roman;Times;serif"/>
          <w:sz w:val="20"/>
        </w:rPr>
        <w:t xml:space="preserve">Purchase Agreements and </w:t>
      </w:r>
      <w:r>
        <w:rPr>
          <w:rStyle w:val="Emphasis"/>
          <w:rFonts w:ascii="Times New Roman;Times;serif" w:hAnsi="Times New Roman;Times;serif"/>
          <w:sz w:val="20"/>
        </w:rPr>
        <w:t>August 2025</w:t>
      </w:r>
      <w:r>
        <w:rPr>
          <w:rFonts w:ascii="Times New Roman;Times;serif" w:hAnsi="Times New Roman;Times;serif"/>
          <w:sz w:val="20"/>
        </w:rPr>
        <w:t xml:space="preserve"> Purchase Agreements met the definition of freestanding financial instruments and qualified for classification as permanent equity under applicable accounting guidance. The Company accounts for warrants as either equity-classified or liability-classified instruments in accordance with the guidance provided in ASC </w:t>
      </w:r>
      <w:r>
        <w:rPr>
          <w:rStyle w:val="Emphasis"/>
          <w:rFonts w:ascii="Times New Roman;Times;serif" w:hAnsi="Times New Roman;Times;serif"/>
          <w:sz w:val="20"/>
        </w:rPr>
        <w:t>480,</w:t>
      </w:r>
      <w:r>
        <w:rPr>
          <w:rFonts w:ascii="Times New Roman;Times;serif" w:hAnsi="Times New Roman;Times;serif"/>
          <w:sz w:val="20"/>
        </w:rPr>
        <w:t> </w:t>
      </w:r>
      <w:r>
        <w:rPr>
          <w:rFonts w:ascii="Times New Roman;Times;serif" w:hAnsi="Times New Roman;Times;serif"/>
          <w:i/>
          <w:sz w:val="20"/>
        </w:rPr>
        <w:t>Distinguishing Liabilities from Equity</w:t>
      </w:r>
      <w:r>
        <w:rPr>
          <w:rFonts w:ascii="Times New Roman;Times;serif" w:hAnsi="Times New Roman;Times;serif"/>
          <w:sz w:val="20"/>
        </w:rPr>
        <w:t>, and ASC </w:t>
      </w:r>
      <w:r>
        <w:rPr>
          <w:rStyle w:val="Emphasis"/>
          <w:rFonts w:ascii="Times New Roman;Times;serif" w:hAnsi="Times New Roman;Times;serif"/>
          <w:sz w:val="20"/>
        </w:rPr>
        <w:t>815,</w:t>
      </w:r>
      <w:r>
        <w:rPr>
          <w:rFonts w:ascii="Times New Roman;Times;serif" w:hAnsi="Times New Roman;Times;serif"/>
          <w:sz w:val="20"/>
        </w:rPr>
        <w:t> </w:t>
      </w:r>
      <w:r>
        <w:rPr>
          <w:rFonts w:ascii="Times New Roman;Times;serif" w:hAnsi="Times New Roman;Times;serif"/>
          <w:i/>
          <w:sz w:val="20"/>
        </w:rPr>
        <w:t>Derivatives and Hedging</w:t>
      </w:r>
      <w:r>
        <w:rPr>
          <w:rFonts w:ascii="Times New Roman;Times;serif" w:hAnsi="Times New Roman;Times;serif"/>
          <w:sz w:val="20"/>
        </w:rPr>
        <w:t>. Equity-classified warrants are those that are indexed to the Company’s own stock and meet the criteria for equity classification under ASC </w:t>
      </w:r>
      <w:r>
        <w:rPr>
          <w:rStyle w:val="Emphasis"/>
          <w:rFonts w:ascii="Times New Roman;Times;serif" w:hAnsi="Times New Roman;Times;serif"/>
          <w:sz w:val="20"/>
        </w:rPr>
        <w:t>815</w:t>
      </w:r>
      <w:r>
        <w:rPr>
          <w:rFonts w:ascii="Times New Roman;Times;serif" w:hAnsi="Times New Roman;Times;serif"/>
          <w:sz w:val="20"/>
        </w:rPr>
        <w:t>-</w:t>
      </w:r>
      <w:r>
        <w:rPr>
          <w:rStyle w:val="Emphasis"/>
          <w:rFonts w:ascii="Times New Roman;Times;serif" w:hAnsi="Times New Roman;Times;serif"/>
          <w:sz w:val="20"/>
        </w:rPr>
        <w:t>40.</w:t>
      </w:r>
      <w:r>
        <w:rPr>
          <w:rFonts w:ascii="Times New Roman;Times;serif" w:hAnsi="Times New Roman;Times;serif"/>
          <w:sz w:val="20"/>
        </w:rPr>
        <w:t> These instruments are recorded in equity at fair value on the issuance date and are </w:t>
      </w:r>
      <w:r>
        <w:rPr>
          <w:rStyle w:val="Emphasis"/>
          <w:rFonts w:ascii="Times New Roman;Times;serif" w:hAnsi="Times New Roman;Times;serif"/>
          <w:sz w:val="20"/>
        </w:rPr>
        <w:t>not</w:t>
      </w:r>
      <w:r>
        <w:rPr>
          <w:rFonts w:ascii="Times New Roman;Times;serif" w:hAnsi="Times New Roman;Times;serif"/>
          <w:sz w:val="20"/>
        </w:rPr>
        <w:t> subsequently remeasured, provided the Company continues to meet the equity classification criteria. As the common stock warrants were issued in conjunction with the other equity instruments, the proceeds have been allocated to each using the relative fair value method and recorded as a component of additional paid-in-capital as of the issuance date. These warrants are included in the diluted earnings per share calculation when they are in-the-money and dilutive, as their features are considered participatory in nature.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color w:val="000000"/>
          <w:sz w:val="20"/>
        </w:rPr>
        <w:t>At-the-market issuance </w:t>
      </w:r>
      <w:r>
        <w:rPr>
          <w:rFonts w:ascii="Times New Roman;Times;serif" w:hAnsi="Times New Roman;Times;serif"/>
          <w:color w:val="000000"/>
          <w:sz w:val="20"/>
        </w:rPr>
        <w:t> </w:t>
      </w:r>
      <w:r>
        <w:rPr>
          <w:rFonts w:ascii="Times New Roman;Times;serif" w:hAnsi="Times New Roman;Times;serif"/>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December 31, 2025, </w:t>
      </w:r>
      <w:r>
        <w:rPr>
          <w:rFonts w:ascii="Times New Roman" w:hAnsi="Times New Roman"/>
          <w:caps w:val="false"/>
          <w:smallCaps w:val="false"/>
          <w:sz w:val="20"/>
        </w:rPr>
        <w:t xml:space="preserve">the Company entered into an At-The-Market Issuance Sales Agreement (the “ATM Agreement”) with Lake Street Capital Markets, LLC (“Lake Street”), under which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 xml:space="preserve">offer and sell shares of its common stock, par value $0.0005 per share (the “Shares”), having an aggregate sales price of up to $11,200 through Lake Street as the sales agent. Sales of shares of the Company’s common stock through Lake Street, if any, will be made by any method permitted by law deemed to be an “at the market offering” as defined in Rule </w:t>
      </w:r>
      <w:r>
        <w:rPr>
          <w:rStyle w:val="Emphasis"/>
          <w:rFonts w:ascii="Times New Roman" w:hAnsi="Times New Roman"/>
          <w:caps w:val="false"/>
          <w:smallCaps w:val="false"/>
          <w:sz w:val="20"/>
        </w:rPr>
        <w:t>415</w:t>
      </w:r>
      <w:r>
        <w:rPr>
          <w:rFonts w:ascii="Times New Roman" w:hAnsi="Times New Roman"/>
          <w:caps w:val="false"/>
          <w:smallCaps w:val="false"/>
          <w:sz w:val="20"/>
        </w:rPr>
        <w:t xml:space="preserve"> under the Securities Act of </w:t>
      </w:r>
      <w:r>
        <w:rPr>
          <w:rStyle w:val="Emphasis"/>
          <w:rFonts w:ascii="Times New Roman" w:hAnsi="Times New Roman"/>
          <w:caps w:val="false"/>
          <w:smallCaps w:val="false"/>
          <w:sz w:val="20"/>
        </w:rPr>
        <w:t>1933,</w:t>
      </w:r>
      <w:r>
        <w:rPr>
          <w:rFonts w:ascii="Times New Roman" w:hAnsi="Times New Roman"/>
          <w:caps w:val="false"/>
          <w:smallCaps w:val="false"/>
          <w:sz w:val="20"/>
        </w:rPr>
        <w:t xml:space="preserve"> as amended (the “Securities Act”), including, without limitation, sales made directly on The Nasdaq Stock Market LLC or any other existing trading market for the Shares. Lake Street will use commercially reasonable efforts to sell the Shares from time to time, based on instructions from the Company (including any price, time or size limits or other parameters or conditions the Company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impose). The Company will pay Lake Street a commission equal to 3.0% of the aggregate gross proceeds from the sales of Shares sold through Lake Street under the ATM Agreement and will also reimburse Lake Street for certain specified expenses in connection with entering into the ATM Agreement as well as in connection with each Triggering Event Date (as defined in the ATM Agreement). Pursuant to the ATM Agreement, the Company also provided Lake Street with customary indemnification and contribution rights. The ATM Agreement contains customary representations and warranties and conditions to the sale of the Shares pursuant thereto.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is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obligated to sell any of the Shares under the ATM Agreement and </w:t>
      </w:r>
      <w:r>
        <w:rPr>
          <w:rStyle w:val="Emphasis"/>
          <w:rFonts w:ascii="Times New Roman" w:hAnsi="Times New Roman"/>
          <w:caps w:val="false"/>
          <w:smallCaps w:val="false"/>
          <w:sz w:val="20"/>
        </w:rPr>
        <w:t xml:space="preserve">may </w:t>
      </w:r>
      <w:r>
        <w:rPr>
          <w:rFonts w:ascii="Times New Roman" w:hAnsi="Times New Roman"/>
          <w:caps w:val="false"/>
          <w:smallCaps w:val="false"/>
          <w:sz w:val="20"/>
        </w:rPr>
        <w:t>at any time suspend solicitation and offers thereunder. The offering of Shares pursuant to the ATM Agreement will terminate on the earlier of (</w:t>
      </w:r>
      <w:r>
        <w:rPr>
          <w:rStyle w:val="Emphasis"/>
          <w:rFonts w:ascii="Times New Roman" w:hAnsi="Times New Roman"/>
          <w:caps w:val="false"/>
          <w:smallCaps w:val="false"/>
          <w:sz w:val="20"/>
        </w:rPr>
        <w:t>1</w:t>
      </w:r>
      <w:r>
        <w:rPr>
          <w:rFonts w:ascii="Times New Roman" w:hAnsi="Times New Roman"/>
          <w:caps w:val="false"/>
          <w:smallCaps w:val="false"/>
          <w:sz w:val="20"/>
        </w:rPr>
        <w:t>) the sale of Shares having an aggregate offering price of $11,200 and (</w:t>
      </w:r>
      <w:r>
        <w:rPr>
          <w:rStyle w:val="Emphasis"/>
          <w:rFonts w:ascii="Times New Roman" w:hAnsi="Times New Roman"/>
          <w:caps w:val="false"/>
          <w:smallCaps w:val="false"/>
          <w:sz w:val="20"/>
        </w:rPr>
        <w:t>2</w:t>
      </w:r>
      <w:r>
        <w:rPr>
          <w:rFonts w:ascii="Times New Roman" w:hAnsi="Times New Roman"/>
          <w:caps w:val="false"/>
          <w:smallCaps w:val="false"/>
          <w:sz w:val="20"/>
        </w:rPr>
        <w:t>) the termination of the ATM Agreement by either the Company or Lake Street, as set forth therein.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Treasury stock</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December 31, 2025</w:t>
      </w:r>
      <w:r>
        <w:rPr>
          <w:rFonts w:ascii="Times New Roman;Times;serif" w:hAnsi="Times New Roman;Times;serif"/>
          <w:sz w:val="20"/>
        </w:rPr>
        <w:t>, the Company held shares of treasury stock of 768,595 and 768,595, respectively, with a cost of $11,407 and $11,407, respectively.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Company's share-based incentive plans allow employees the option to either make a cash payment or forfeit shares of common stock upon vesting to satisfy federal and state statutory tax withholding obligations associated with equity awards. The forfeited shares of common stock </w:t>
      </w:r>
      <w:r>
        <w:rPr>
          <w:rStyle w:val="Emphasis"/>
          <w:rFonts w:ascii="Times New Roman;Times;serif" w:hAnsi="Times New Roman;Times;serif"/>
          <w:sz w:val="20"/>
        </w:rPr>
        <w:t xml:space="preserve">may </w:t>
      </w:r>
      <w:r>
        <w:rPr>
          <w:rFonts w:ascii="Times New Roman;Times;serif" w:hAnsi="Times New Roman;Times;serif"/>
          <w:sz w:val="20"/>
        </w:rPr>
        <w:t>be taken into treasury stock by the Company or sold on the open market.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no shares of common stock were withheld to cover statutory taxes owed by certain employees for this purpose. See Note </w:t>
      </w:r>
      <w:r>
        <w:rPr>
          <w:rStyle w:val="Emphasis"/>
          <w:rFonts w:ascii="Times New Roman;Times;serif" w:hAnsi="Times New Roman;Times;serif"/>
          <w:sz w:val="20"/>
        </w:rPr>
        <w:t>8</w:t>
      </w:r>
      <w:r>
        <w:rPr>
          <w:rFonts w:ascii="Times New Roman;Times;serif" w:hAnsi="Times New Roman;Times;serif"/>
          <w:sz w:val="20"/>
        </w:rPr>
        <w:t xml:space="preserve">, </w:t>
      </w:r>
      <w:r>
        <w:rPr>
          <w:rFonts w:ascii="Times New Roman;Times;serif" w:hAnsi="Times New Roman;Times;serif"/>
          <w:i/>
          <w:sz w:val="20"/>
        </w:rPr>
        <w:t>Share-based compensation</w:t>
      </w:r>
      <w:r>
        <w:rPr>
          <w:rFonts w:ascii="Times New Roman;Times;serif" w:hAnsi="Times New Roman;Times;serif"/>
          <w:sz w:val="20"/>
        </w:rPr>
        <w:t>.</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Style w:val="Emphasis"/>
          <w:rFonts w:ascii="Times New Roman;Times;serif" w:hAnsi="Times New Roman;Times;serif"/>
          <w:b/>
          <w:sz w:val="20"/>
        </w:rPr>
        <w:t>8.</w:t>
      </w:r>
      <w:r>
        <w:rPr>
          <w:rFonts w:ascii="Times New Roman;Times;serif" w:hAnsi="Times New Roman;Times;serif"/>
          <w:b/>
          <w:sz w:val="20"/>
        </w:rPr>
        <w:t xml:space="preserve"> Share-based compensation</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June 8, 2022, </w:t>
      </w:r>
      <w:r>
        <w:rPr>
          <w:rFonts w:ascii="Times New Roman;Times;serif" w:hAnsi="Times New Roman;Times;serif"/>
          <w:sz w:val="20"/>
        </w:rPr>
        <w:t xml:space="preserve">the stockholders of the Company approved the Fluent, Inc. </w:t>
      </w:r>
      <w:r>
        <w:rPr>
          <w:rStyle w:val="Emphasis"/>
          <w:rFonts w:ascii="Times New Roman;Times;serif" w:hAnsi="Times New Roman;Times;serif"/>
          <w:sz w:val="20"/>
        </w:rPr>
        <w:t>2022</w:t>
      </w:r>
      <w:r>
        <w:rPr>
          <w:rFonts w:ascii="Times New Roman;Times;serif" w:hAnsi="Times New Roman;Times;serif"/>
          <w:sz w:val="20"/>
        </w:rPr>
        <w:t xml:space="preserve"> Omnibus Equity Incentive Plan (the </w:t>
      </w:r>
      <w:r>
        <w:rPr>
          <w:rStyle w:val="Emphasis"/>
          <w:rFonts w:ascii="Times New Roman;Times;serif" w:hAnsi="Times New Roman;Times;serif"/>
          <w:sz w:val="20"/>
        </w:rPr>
        <w:t>"2022</w:t>
      </w:r>
      <w:r>
        <w:rPr>
          <w:rFonts w:ascii="Times New Roman;Times;serif" w:hAnsi="Times New Roman;Times;serif"/>
          <w:sz w:val="20"/>
        </w:rPr>
        <w:t xml:space="preserve"> Plan") that authorized for issuance 2,570,421 shares of the Company's common stock. The </w:t>
      </w:r>
      <w:r>
        <w:rPr>
          <w:rStyle w:val="Emphasis"/>
          <w:rFonts w:ascii="Times New Roman;Times;serif" w:hAnsi="Times New Roman;Times;serif"/>
          <w:sz w:val="20"/>
        </w:rPr>
        <w:t>2022</w:t>
      </w:r>
      <w:r>
        <w:rPr>
          <w:rFonts w:ascii="Times New Roman;Times;serif" w:hAnsi="Times New Roman;Times;serif"/>
          <w:sz w:val="20"/>
        </w:rPr>
        <w:t xml:space="preserve"> Plan was amended on </w:t>
      </w:r>
      <w:r>
        <w:rPr>
          <w:rStyle w:val="Emphasis"/>
          <w:rFonts w:ascii="Times New Roman;Times;serif" w:hAnsi="Times New Roman;Times;serif"/>
          <w:sz w:val="20"/>
        </w:rPr>
        <w:t>June 18, 2025 </w:t>
      </w:r>
      <w:r>
        <w:rPr>
          <w:rFonts w:ascii="Times New Roman;Times;serif" w:hAnsi="Times New Roman;Times;serif"/>
          <w:sz w:val="20"/>
        </w:rPr>
        <w:t xml:space="preserve">at the Company’s </w:t>
      </w:r>
      <w:r>
        <w:rPr>
          <w:rStyle w:val="Emphasis"/>
          <w:rFonts w:ascii="Times New Roman;Times;serif" w:hAnsi="Times New Roman;Times;serif"/>
          <w:sz w:val="20"/>
        </w:rPr>
        <w:t>2025</w:t>
      </w:r>
      <w:r>
        <w:rPr>
          <w:rFonts w:ascii="Times New Roman;Times;serif" w:hAnsi="Times New Roman;Times;serif"/>
          <w:sz w:val="20"/>
        </w:rPr>
        <w:t xml:space="preserve"> annual meeting of stockholders which approved an increase of the number of shares of common stock authorized for issuance under the </w:t>
      </w:r>
      <w:r>
        <w:rPr>
          <w:rStyle w:val="Emphasis"/>
          <w:rFonts w:ascii="Times New Roman;Times;serif" w:hAnsi="Times New Roman;Times;serif"/>
          <w:sz w:val="20"/>
        </w:rPr>
        <w:t>2022</w:t>
      </w:r>
      <w:r>
        <w:rPr>
          <w:rFonts w:ascii="Times New Roman;Times;serif" w:hAnsi="Times New Roman;Times;serif"/>
          <w:sz w:val="20"/>
        </w:rPr>
        <w:t xml:space="preserve"> Plan by 2,000,000 shares. The </w:t>
      </w:r>
      <w:r>
        <w:rPr>
          <w:rStyle w:val="Emphasis"/>
          <w:rFonts w:ascii="Times New Roman;Times;serif" w:hAnsi="Times New Roman;Times;serif"/>
          <w:sz w:val="20"/>
        </w:rPr>
        <w:t>2022</w:t>
      </w:r>
      <w:r>
        <w:rPr>
          <w:rFonts w:ascii="Times New Roman;Times;serif" w:hAnsi="Times New Roman;Times;serif"/>
          <w:sz w:val="20"/>
        </w:rPr>
        <w:t xml:space="preserve"> Plan was amended again on </w:t>
      </w:r>
      <w:r>
        <w:rPr>
          <w:rStyle w:val="Emphasis"/>
          <w:rFonts w:ascii="Times New Roman;Times;serif" w:hAnsi="Times New Roman;Times;serif"/>
          <w:sz w:val="20"/>
        </w:rPr>
        <w:t>June 17, 2026 </w:t>
      </w:r>
      <w:r>
        <w:rPr>
          <w:rFonts w:ascii="Times New Roman;Times;serif" w:hAnsi="Times New Roman;Times;serif"/>
          <w:sz w:val="20"/>
        </w:rPr>
        <w:t xml:space="preserve">at the Company’s </w:t>
      </w:r>
      <w:r>
        <w:rPr>
          <w:rStyle w:val="Emphasis"/>
          <w:rFonts w:ascii="Times New Roman;Times;serif" w:hAnsi="Times New Roman;Times;serif"/>
          <w:sz w:val="20"/>
        </w:rPr>
        <w:t>2026</w:t>
      </w:r>
      <w:r>
        <w:rPr>
          <w:rFonts w:ascii="Times New Roman;Times;serif" w:hAnsi="Times New Roman;Times;serif"/>
          <w:sz w:val="20"/>
        </w:rPr>
        <w:t xml:space="preserve"> annual meeting of stockholders which approved an increase of the number of shares of common stock authorized for issuance under the </w:t>
      </w:r>
      <w:r>
        <w:rPr>
          <w:rStyle w:val="Emphasis"/>
          <w:rFonts w:ascii="Times New Roman;Times;serif" w:hAnsi="Times New Roman;Times;serif"/>
          <w:sz w:val="20"/>
        </w:rPr>
        <w:t>2022</w:t>
      </w:r>
      <w:r>
        <w:rPr>
          <w:rFonts w:ascii="Times New Roman;Times;serif" w:hAnsi="Times New Roman;Times;serif"/>
          <w:sz w:val="20"/>
        </w:rPr>
        <w:t xml:space="preserve"> Plan by 1,900,000 shares.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the Company had 2,521,386 shares of common stock available for grants pursuant to the </w:t>
      </w:r>
      <w:r>
        <w:rPr>
          <w:rStyle w:val="Emphasis"/>
          <w:rFonts w:ascii="Times New Roman;Times;serif" w:hAnsi="Times New Roman;Times;serif"/>
          <w:sz w:val="20"/>
        </w:rPr>
        <w:t>2022</w:t>
      </w:r>
      <w:r>
        <w:rPr>
          <w:rFonts w:ascii="Times New Roman;Times;serif" w:hAnsi="Times New Roman;Times;serif"/>
          <w:sz w:val="20"/>
        </w:rPr>
        <w:t xml:space="preserve"> Plan, which includes 328,517 shares of common stock previously available for issuance under the </w:t>
      </w:r>
      <w:r>
        <w:rPr>
          <w:rStyle w:val="Emphasis"/>
          <w:rFonts w:ascii="Times New Roman;Times;serif" w:hAnsi="Times New Roman;Times;serif"/>
          <w:sz w:val="20"/>
        </w:rPr>
        <w:t>2018</w:t>
      </w:r>
      <w:r>
        <w:rPr>
          <w:rFonts w:ascii="Times New Roman;Times;serif" w:hAnsi="Times New Roman;Times;serif"/>
          <w:sz w:val="20"/>
        </w:rPr>
        <w:t xml:space="preserve"> Stock Incentive Plan. </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On </w:t>
      </w:r>
      <w:r>
        <w:rPr>
          <w:rStyle w:val="Emphasis"/>
          <w:rFonts w:ascii="Times New Roman;Times;serif" w:hAnsi="Times New Roman;Times;serif"/>
          <w:sz w:val="20"/>
        </w:rPr>
        <w:t xml:space="preserve">September 22, 2025, </w:t>
      </w:r>
      <w:r>
        <w:rPr>
          <w:rFonts w:ascii="Times New Roman;Times;serif" w:hAnsi="Times New Roman;Times;serif"/>
          <w:sz w:val="20"/>
        </w:rPr>
        <w:t xml:space="preserve">the Company's board of directors (the "Board" or "Board of Directors") approved the Fluent, Inc. Equity Participation Plan (the </w:t>
      </w:r>
      <w:r>
        <w:rPr>
          <w:rStyle w:val="Emphasis"/>
          <w:rFonts w:ascii="Times New Roman;Times;serif" w:hAnsi="Times New Roman;Times;serif"/>
          <w:sz w:val="20"/>
        </w:rPr>
        <w:t>“2025</w:t>
      </w:r>
      <w:r>
        <w:rPr>
          <w:rFonts w:ascii="Times New Roman;Times;serif" w:hAnsi="Times New Roman;Times;serif"/>
          <w:sz w:val="20"/>
        </w:rPr>
        <w:t xml:space="preserve"> Plan”). The </w:t>
      </w:r>
      <w:r>
        <w:rPr>
          <w:rStyle w:val="Emphasis"/>
          <w:rFonts w:ascii="Times New Roman;Times;serif" w:hAnsi="Times New Roman;Times;serif"/>
          <w:sz w:val="20"/>
        </w:rPr>
        <w:t>2025</w:t>
      </w:r>
      <w:r>
        <w:rPr>
          <w:rFonts w:ascii="Times New Roman;Times;serif" w:hAnsi="Times New Roman;Times;serif"/>
          <w:sz w:val="20"/>
        </w:rPr>
        <w:t xml:space="preserve"> Plan provides for the grant of cash-settled awards that track the value of the Company’s common stock and are accounted for under the same share reserve authorized under the </w:t>
      </w:r>
      <w:r>
        <w:rPr>
          <w:rStyle w:val="Emphasis"/>
          <w:rFonts w:ascii="Times New Roman;Times;serif" w:hAnsi="Times New Roman;Times;serif"/>
          <w:sz w:val="20"/>
        </w:rPr>
        <w:t>2022</w:t>
      </w:r>
      <w:r>
        <w:rPr>
          <w:rFonts w:ascii="Times New Roman;Times;serif" w:hAnsi="Times New Roman;Times;serif"/>
          <w:sz w:val="20"/>
        </w:rPr>
        <w:t xml:space="preserve"> Plan. No additional shares were authorized in connection with the adoption of the </w:t>
      </w:r>
      <w:r>
        <w:rPr>
          <w:rStyle w:val="Emphasis"/>
          <w:rFonts w:ascii="Times New Roman;Times;serif" w:hAnsi="Times New Roman;Times;serif"/>
          <w:sz w:val="20"/>
        </w:rPr>
        <w:t>2025</w:t>
      </w:r>
      <w:r>
        <w:rPr>
          <w:rFonts w:ascii="Times New Roman;Times;serif" w:hAnsi="Times New Roman;Times;serif"/>
          <w:sz w:val="20"/>
        </w:rPr>
        <w:t xml:space="preserve"> Plan.</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The primary purpose of the </w:t>
      </w:r>
      <w:r>
        <w:rPr>
          <w:rStyle w:val="Emphasis"/>
          <w:rFonts w:ascii="Times New Roman;Times;serif" w:hAnsi="Times New Roman;Times;serif"/>
          <w:sz w:val="20"/>
        </w:rPr>
        <w:t>2025</w:t>
      </w:r>
      <w:r>
        <w:rPr>
          <w:rFonts w:ascii="Times New Roman;Times;serif" w:hAnsi="Times New Roman;Times;serif"/>
          <w:sz w:val="20"/>
        </w:rPr>
        <w:t xml:space="preserve"> plan, </w:t>
      </w:r>
      <w:r>
        <w:rPr>
          <w:rStyle w:val="Emphasis"/>
          <w:rFonts w:ascii="Times New Roman;Times;serif" w:hAnsi="Times New Roman;Times;serif"/>
          <w:sz w:val="20"/>
        </w:rPr>
        <w:t>2022</w:t>
      </w:r>
      <w:r>
        <w:rPr>
          <w:rFonts w:ascii="Times New Roman;Times;serif" w:hAnsi="Times New Roman;Times;serif"/>
          <w:sz w:val="20"/>
        </w:rPr>
        <w:t xml:space="preserve"> Plan and prior plans is to attract, retain, reward, and motivate certain individuals by providing them with opportunities to acquire or increase their ownership interests in the Company. In </w:t>
      </w:r>
      <w:r>
        <w:rPr>
          <w:rStyle w:val="Emphasis"/>
          <w:rFonts w:ascii="Times New Roman;Times;serif" w:hAnsi="Times New Roman;Times;serif"/>
          <w:sz w:val="20"/>
        </w:rPr>
        <w:t xml:space="preserve">October 2022, </w:t>
      </w:r>
      <w:r>
        <w:rPr>
          <w:rFonts w:ascii="Times New Roman;Times;serif" w:hAnsi="Times New Roman;Times;serif"/>
          <w:sz w:val="20"/>
        </w:rPr>
        <w:t xml:space="preserve">the Company issued to certain of its senior officers and employees, RSUs (time-based), long-term incentive grants (performance and time-based vesting RSUs), or performance stock units ("PSUs") (on achievement of targets, a cash payout) under the </w:t>
      </w:r>
      <w:r>
        <w:rPr>
          <w:rStyle w:val="Emphasis"/>
          <w:rFonts w:ascii="Times New Roman;Times;serif" w:hAnsi="Times New Roman;Times;serif"/>
          <w:sz w:val="20"/>
        </w:rPr>
        <w:t>2022</w:t>
      </w:r>
      <w:r>
        <w:rPr>
          <w:rFonts w:ascii="Times New Roman;Times;serif" w:hAnsi="Times New Roman;Times;serif"/>
          <w:sz w:val="20"/>
        </w:rPr>
        <w:t xml:space="preserve"> Plan. In </w:t>
      </w:r>
      <w:r>
        <w:rPr>
          <w:rStyle w:val="Emphasis"/>
          <w:rFonts w:ascii="Times New Roman;Times;serif" w:hAnsi="Times New Roman;Times;serif"/>
          <w:sz w:val="20"/>
        </w:rPr>
        <w:t xml:space="preserve">October 2025 </w:t>
      </w:r>
      <w:r>
        <w:rPr>
          <w:rFonts w:ascii="Times New Roman;Times;serif" w:hAnsi="Times New Roman;Times;serif"/>
          <w:sz w:val="20"/>
        </w:rPr>
        <w:t xml:space="preserve">and </w:t>
      </w:r>
      <w:r>
        <w:rPr>
          <w:rStyle w:val="Emphasis"/>
          <w:rFonts w:ascii="Times New Roman;Times;serif" w:hAnsi="Times New Roman;Times;serif"/>
          <w:sz w:val="20"/>
        </w:rPr>
        <w:t xml:space="preserve">April 2026, </w:t>
      </w:r>
      <w:r>
        <w:rPr>
          <w:rFonts w:ascii="Times New Roman;Times;serif" w:hAnsi="Times New Roman;Times;serif"/>
          <w:sz w:val="20"/>
        </w:rPr>
        <w:t xml:space="preserve">the Company issued to certain of its senior officers and employees (i) RSUs (time-based, a cash payout) and PSUs (performance and time-based vesting RSUs, a cash payout) under the </w:t>
      </w:r>
      <w:r>
        <w:rPr>
          <w:rStyle w:val="Emphasis"/>
          <w:rFonts w:ascii="Times New Roman;Times;serif" w:hAnsi="Times New Roman;Times;serif"/>
          <w:sz w:val="20"/>
        </w:rPr>
        <w:t>2025</w:t>
      </w:r>
      <w:r>
        <w:rPr>
          <w:rFonts w:ascii="Times New Roman;Times;serif" w:hAnsi="Times New Roman;Times;serif"/>
          <w:sz w:val="20"/>
        </w:rPr>
        <w:t xml:space="preserve"> Plan and (ii)  RSUs (time-based) and PSUs (on achievement of targets) under the </w:t>
      </w:r>
      <w:r>
        <w:rPr>
          <w:rStyle w:val="Emphasis"/>
          <w:rFonts w:ascii="Times New Roman;Times;serif" w:hAnsi="Times New Roman;Times;serif"/>
          <w:sz w:val="20"/>
        </w:rPr>
        <w:t>2022</w:t>
      </w:r>
      <w:r>
        <w:rPr>
          <w:rFonts w:ascii="Times New Roman;Times;serif" w:hAnsi="Times New Roman;Times;serif"/>
          <w:sz w:val="20"/>
        </w:rPr>
        <w:t xml:space="preserve"> Plan.</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Stock options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The Compensation Committee (the "Compensation Committee") of the Company's Board of Directors approved the grant of stock options to certain Company officers, which were issued on </w:t>
      </w:r>
      <w:r>
        <w:rPr>
          <w:rStyle w:val="Emphasis"/>
          <w:rFonts w:ascii="Times New Roman;Times;serif" w:hAnsi="Times New Roman;Times;serif"/>
          <w:sz w:val="20"/>
        </w:rPr>
        <w:t xml:space="preserve"> February 1, 2019,  December 20, 2019, March 1, 2020, </w:t>
      </w:r>
      <w:r>
        <w:rPr>
          <w:rFonts w:ascii="Times New Roman;Times;serif" w:hAnsi="Times New Roman;Times;serif"/>
          <w:sz w:val="20"/>
        </w:rPr>
        <w:t>and </w:t>
      </w:r>
      <w:r>
        <w:rPr>
          <w:rStyle w:val="Emphasis"/>
          <w:rFonts w:ascii="Times New Roman;Times;serif" w:hAnsi="Times New Roman;Times;serif"/>
          <w:sz w:val="20"/>
        </w:rPr>
        <w:t xml:space="preserve"> March 1, 2021. </w:t>
      </w:r>
      <w:r>
        <w:rPr>
          <w:rFonts w:ascii="Times New Roman;Times;serif" w:hAnsi="Times New Roman;Times;serif"/>
          <w:sz w:val="20"/>
        </w:rPr>
        <w:t xml:space="preserve">Subject to continuing service, 50% of the stock options will vest if the Company's stock price remains above 125%, 133.33%, 133.3% and 133.33%, respectively, of the exercise prices for </w:t>
      </w:r>
      <w:r>
        <w:rPr>
          <w:rStyle w:val="Emphasis"/>
          <w:rFonts w:ascii="Times New Roman;Times;serif" w:hAnsi="Times New Roman;Times;serif"/>
          <w:sz w:val="20"/>
        </w:rPr>
        <w:t>20</w:t>
      </w:r>
      <w:r>
        <w:rPr>
          <w:rFonts w:ascii="Times New Roman;Times;serif" w:hAnsi="Times New Roman;Times;serif"/>
          <w:sz w:val="20"/>
        </w:rPr>
        <w:t xml:space="preserve">  consecutive trading days, and the remaining 50% of the stock options will vest if the Company's stock price remains above 156.25%, 177.78%, 177.78% and 177.78%, respectively, of the exercise prices for </w:t>
      </w:r>
      <w:r>
        <w:rPr>
          <w:rStyle w:val="Emphasis"/>
          <w:rFonts w:ascii="Times New Roman;Times;serif" w:hAnsi="Times New Roman;Times;serif"/>
          <w:sz w:val="20"/>
        </w:rPr>
        <w:t>20</w:t>
      </w:r>
      <w:r>
        <w:rPr>
          <w:rFonts w:ascii="Times New Roman;Times;serif" w:hAnsi="Times New Roman;Times;serif"/>
          <w:sz w:val="20"/>
        </w:rPr>
        <w:t xml:space="preserve"> consecutive trading days; provided, that </w:t>
      </w:r>
      <w:r>
        <w:rPr>
          <w:rStyle w:val="Emphasis"/>
          <w:rFonts w:ascii="Times New Roman;Times;serif" w:hAnsi="Times New Roman;Times;serif"/>
          <w:sz w:val="20"/>
        </w:rPr>
        <w:t>no</w:t>
      </w:r>
      <w:r>
        <w:rPr>
          <w:rFonts w:ascii="Times New Roman;Times;serif" w:hAnsi="Times New Roman;Times;serif"/>
          <w:sz w:val="20"/>
        </w:rPr>
        <w:t xml:space="preserve"> shares vested prior to the </w:t>
      </w:r>
      <w:r>
        <w:rPr>
          <w:rStyle w:val="Emphasis"/>
          <w:rFonts w:ascii="Times New Roman;Times;serif" w:hAnsi="Times New Roman;Times;serif"/>
          <w:sz w:val="20"/>
        </w:rPr>
        <w:t>first</w:t>
      </w:r>
      <w:r>
        <w:rPr>
          <w:rFonts w:ascii="Times New Roman;Times;serif" w:hAnsi="Times New Roman;Times;serif"/>
          <w:sz w:val="20"/>
        </w:rPr>
        <w:t xml:space="preserve"> anniversary of the grant date.</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the </w:t>
      </w:r>
      <w:r>
        <w:rPr>
          <w:rStyle w:val="Emphasis"/>
          <w:rFonts w:ascii="Times New Roman;Times;serif" w:hAnsi="Times New Roman;Times;serif"/>
          <w:sz w:val="20"/>
        </w:rPr>
        <w:t>first</w:t>
      </w:r>
      <w:r>
        <w:rPr>
          <w:rFonts w:ascii="Times New Roman;Times;serif" w:hAnsi="Times New Roman;Times;serif"/>
          <w:sz w:val="20"/>
        </w:rPr>
        <w:t xml:space="preserve"> condition for the stock options issued on </w:t>
      </w:r>
      <w:r>
        <w:rPr>
          <w:rStyle w:val="Emphasis"/>
          <w:rFonts w:ascii="Times New Roman;Times;serif" w:hAnsi="Times New Roman;Times;serif"/>
          <w:sz w:val="20"/>
        </w:rPr>
        <w:t xml:space="preserve">February 1, 2019, December 20, 2019 </w:t>
      </w:r>
      <w:r>
        <w:rPr>
          <w:rFonts w:ascii="Times New Roman;Times;serif" w:hAnsi="Times New Roman;Times;serif"/>
          <w:sz w:val="20"/>
        </w:rPr>
        <w:t xml:space="preserve">and </w:t>
      </w:r>
      <w:r>
        <w:rPr>
          <w:rStyle w:val="Emphasis"/>
          <w:rFonts w:ascii="Times New Roman;Times;serif" w:hAnsi="Times New Roman;Times;serif"/>
          <w:sz w:val="20"/>
        </w:rPr>
        <w:t xml:space="preserve">March 1, 2020 </w:t>
      </w:r>
      <w:r>
        <w:rPr>
          <w:rFonts w:ascii="Times New Roman;Times;serif" w:hAnsi="Times New Roman;Times;serif"/>
          <w:sz w:val="20"/>
        </w:rPr>
        <w:t xml:space="preserve">had been met and the </w:t>
      </w:r>
      <w:r>
        <w:rPr>
          <w:rStyle w:val="Emphasis"/>
          <w:rFonts w:ascii="Times New Roman;Times;serif" w:hAnsi="Times New Roman;Times;serif"/>
          <w:sz w:val="20"/>
        </w:rPr>
        <w:t>second</w:t>
      </w:r>
      <w:r>
        <w:rPr>
          <w:rFonts w:ascii="Times New Roman;Times;serif" w:hAnsi="Times New Roman;Times;serif"/>
          <w:sz w:val="20"/>
        </w:rPr>
        <w:t xml:space="preserve"> condition for the stock options issued on </w:t>
      </w:r>
      <w:r>
        <w:rPr>
          <w:rStyle w:val="Emphasis"/>
          <w:rFonts w:ascii="Times New Roman;Times;serif" w:hAnsi="Times New Roman;Times;serif"/>
          <w:sz w:val="20"/>
        </w:rPr>
        <w:t xml:space="preserve">December 20, 2019 </w:t>
      </w:r>
      <w:r>
        <w:rPr>
          <w:rFonts w:ascii="Times New Roman;Times;serif" w:hAnsi="Times New Roman;Times;serif"/>
          <w:sz w:val="20"/>
        </w:rPr>
        <w:t xml:space="preserve">and </w:t>
      </w:r>
      <w:r>
        <w:rPr>
          <w:rStyle w:val="Emphasis"/>
          <w:rFonts w:ascii="Times New Roman;Times;serif" w:hAnsi="Times New Roman;Times;serif"/>
          <w:sz w:val="20"/>
        </w:rPr>
        <w:t xml:space="preserve">March 1, 2020 </w:t>
      </w:r>
      <w:r>
        <w:rPr>
          <w:rFonts w:ascii="Times New Roman;Times;serif" w:hAnsi="Times New Roman;Times;serif"/>
          <w:sz w:val="20"/>
        </w:rPr>
        <w:t>had been met. Any stock options that had remained unvested as of the fifth anniversary of the grant date vested in full on such date. The fair value of the stock options granted was estimated at the trading day before the date of grant using a Monte Carlo simulation model. The key assumptions utilized to calculate the grant-date fair values for these awards are summarized below:</w:t>
      </w:r>
    </w:p>
    <w:p>
      <w:pPr>
        <w:pStyle w:val="TextBody"/>
        <w:bidi w:val="0"/>
        <w:spacing w:before="0" w:after="0"/>
        <w:ind w:left="0" w:right="0" w:hanging="0"/>
        <w:jc w:val="left"/>
        <w:rPr/>
      </w:pPr>
      <w:r>
        <w:rPr/>
        <w:t> </w:t>
      </w:r>
    </w:p>
    <w:tbl>
      <w:tblPr>
        <w:tblW w:w="8444" w:type="dxa"/>
        <w:jc w:val="left"/>
        <w:tblInd w:w="0" w:type="dxa"/>
        <w:tblLayout w:type="fixed"/>
        <w:tblCellMar>
          <w:top w:w="0" w:type="dxa"/>
          <w:left w:w="0" w:type="dxa"/>
          <w:bottom w:w="28" w:type="dxa"/>
          <w:right w:w="0" w:type="dxa"/>
        </w:tblCellMar>
      </w:tblPr>
      <w:tblGrid>
        <w:gridCol w:w="1985"/>
        <w:gridCol w:w="23"/>
        <w:gridCol w:w="298"/>
        <w:gridCol w:w="1192"/>
        <w:gridCol w:w="185"/>
        <w:gridCol w:w="23"/>
        <w:gridCol w:w="335"/>
        <w:gridCol w:w="1304"/>
        <w:gridCol w:w="185"/>
        <w:gridCol w:w="23"/>
        <w:gridCol w:w="194"/>
        <w:gridCol w:w="1055"/>
        <w:gridCol w:w="185"/>
        <w:gridCol w:w="23"/>
        <w:gridCol w:w="194"/>
        <w:gridCol w:w="1055"/>
        <w:gridCol w:w="185"/>
      </w:tblGrid>
      <w:tr>
        <w:trPr/>
        <w:tc>
          <w:tcPr>
            <w:tcW w:w="198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Issuance Date</w:t>
            </w:r>
          </w:p>
        </w:tc>
        <w:tc>
          <w:tcPr>
            <w:tcW w:w="23" w:type="dxa"/>
            <w:tcBorders/>
            <w:tcMar>
              <w:bottom w:w="0" w:type="dxa"/>
            </w:tcMar>
            <w:vAlign w:val="center"/>
          </w:tcPr>
          <w:p>
            <w:pPr>
              <w:pStyle w:val="TableContents"/>
              <w:bidi w:val="0"/>
              <w:spacing w:before="0" w:after="0"/>
              <w:ind w:left="0" w:right="0" w:hanging="0"/>
              <w:jc w:val="left"/>
              <w:rPr/>
            </w:pPr>
            <w:r>
              <w:rPr/>
              <w:t>​</w:t>
            </w:r>
          </w:p>
        </w:tc>
        <w:tc>
          <w:tcPr>
            <w:tcW w:w="1490"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February 1, 2019</w:t>
            </w:r>
          </w:p>
        </w:tc>
        <w:tc>
          <w:tcPr>
            <w:tcW w:w="185" w:type="dxa"/>
            <w:tcBorders/>
            <w:tcMar>
              <w:bottom w:w="0" w:type="dxa"/>
            </w:tcMar>
            <w:vAlign w:val="center"/>
          </w:tcPr>
          <w:p>
            <w:pPr>
              <w:pStyle w:val="TableContents"/>
              <w:bidi w:val="0"/>
              <w:spacing w:before="0" w:after="0"/>
              <w:ind w:left="0" w:right="0" w:hanging="0"/>
              <w:jc w:val="left"/>
              <w:rPr/>
            </w:pPr>
            <w:r>
              <w:rPr/>
              <w:t>​</w:t>
            </w:r>
          </w:p>
        </w:tc>
        <w:tc>
          <w:tcPr>
            <w:tcW w:w="23" w:type="dxa"/>
            <w:tcBorders/>
            <w:tcMar>
              <w:bottom w:w="0" w:type="dxa"/>
            </w:tcMar>
            <w:vAlign w:val="center"/>
          </w:tcPr>
          <w:p>
            <w:pPr>
              <w:pStyle w:val="TableContents"/>
              <w:bidi w:val="0"/>
              <w:spacing w:before="0" w:after="0"/>
              <w:ind w:left="0" w:right="0" w:hanging="0"/>
              <w:jc w:val="left"/>
              <w:rPr/>
            </w:pPr>
            <w:r>
              <w:rPr/>
              <w:t>​</w:t>
            </w:r>
          </w:p>
        </w:tc>
        <w:tc>
          <w:tcPr>
            <w:tcW w:w="163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December 20, 2019</w:t>
            </w:r>
          </w:p>
        </w:tc>
        <w:tc>
          <w:tcPr>
            <w:tcW w:w="185" w:type="dxa"/>
            <w:tcBorders/>
            <w:tcMar>
              <w:bottom w:w="0" w:type="dxa"/>
            </w:tcMar>
            <w:vAlign w:val="center"/>
          </w:tcPr>
          <w:p>
            <w:pPr>
              <w:pStyle w:val="TableContents"/>
              <w:bidi w:val="0"/>
              <w:spacing w:before="0" w:after="0"/>
              <w:ind w:left="0" w:right="0" w:hanging="0"/>
              <w:jc w:val="left"/>
              <w:rPr/>
            </w:pPr>
            <w:r>
              <w:rPr/>
              <w:t>​</w:t>
            </w:r>
          </w:p>
        </w:tc>
        <w:tc>
          <w:tcPr>
            <w:tcW w:w="23" w:type="dxa"/>
            <w:tcBorders/>
            <w:tcMar>
              <w:bottom w:w="0" w:type="dxa"/>
            </w:tcMar>
            <w:vAlign w:val="center"/>
          </w:tcPr>
          <w:p>
            <w:pPr>
              <w:pStyle w:val="TableContents"/>
              <w:bidi w:val="0"/>
              <w:spacing w:before="0" w:after="0"/>
              <w:ind w:left="0" w:right="0" w:hanging="0"/>
              <w:jc w:val="left"/>
              <w:rPr/>
            </w:pPr>
            <w:r>
              <w:rPr/>
              <w:t>​</w:t>
            </w:r>
          </w:p>
        </w:tc>
        <w:tc>
          <w:tcPr>
            <w:tcW w:w="12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1, 2020</w:t>
            </w:r>
          </w:p>
        </w:tc>
        <w:tc>
          <w:tcPr>
            <w:tcW w:w="185" w:type="dxa"/>
            <w:tcBorders/>
            <w:tcMar>
              <w:bottom w:w="0" w:type="dxa"/>
            </w:tcMar>
            <w:vAlign w:val="center"/>
          </w:tcPr>
          <w:p>
            <w:pPr>
              <w:pStyle w:val="TableContents"/>
              <w:bidi w:val="0"/>
              <w:spacing w:before="0" w:after="0"/>
              <w:ind w:left="0" w:right="0" w:hanging="0"/>
              <w:jc w:val="left"/>
              <w:rPr/>
            </w:pPr>
            <w:r>
              <w:rPr/>
              <w:t>​</w:t>
            </w:r>
          </w:p>
        </w:tc>
        <w:tc>
          <w:tcPr>
            <w:tcW w:w="23" w:type="dxa"/>
            <w:tcBorders/>
            <w:tcMar>
              <w:bottom w:w="0" w:type="dxa"/>
            </w:tcMar>
            <w:vAlign w:val="center"/>
          </w:tcPr>
          <w:p>
            <w:pPr>
              <w:pStyle w:val="TableContents"/>
              <w:bidi w:val="0"/>
              <w:spacing w:before="0" w:after="0"/>
              <w:ind w:left="0" w:right="0" w:hanging="0"/>
              <w:jc w:val="left"/>
              <w:rPr/>
            </w:pPr>
            <w:r>
              <w:rPr/>
              <w:t>​</w:t>
            </w:r>
          </w:p>
        </w:tc>
        <w:tc>
          <w:tcPr>
            <w:tcW w:w="124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March 1, 2021</w:t>
            </w:r>
          </w:p>
        </w:tc>
        <w:tc>
          <w:tcPr>
            <w:tcW w:w="185" w:type="dxa"/>
            <w:tcBorders/>
            <w:tcMar>
              <w:bottom w:w="0" w:type="dxa"/>
            </w:tcMar>
            <w:vAlign w:val="center"/>
          </w:tcPr>
          <w:p>
            <w:pPr>
              <w:pStyle w:val="TableContents"/>
              <w:bidi w:val="0"/>
              <w:spacing w:before="0" w:after="0"/>
              <w:ind w:left="0" w:right="0" w:hanging="0"/>
              <w:jc w:val="left"/>
              <w:rPr/>
            </w:pPr>
            <w:r>
              <w:rPr/>
              <w:t>​</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lower range</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9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16.86</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9.48</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9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8.76</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9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26.04</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9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higher range</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98"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17.16</w:t>
            </w:r>
          </w:p>
        </w:tc>
        <w:tc>
          <w:tcPr>
            <w:tcW w:w="185"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33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0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9.66</w:t>
            </w:r>
          </w:p>
        </w:tc>
        <w:tc>
          <w:tcPr>
            <w:tcW w:w="185"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9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8.94</w:t>
            </w:r>
          </w:p>
        </w:tc>
        <w:tc>
          <w:tcPr>
            <w:tcW w:w="185"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94"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26.58</w:t>
            </w:r>
          </w:p>
        </w:tc>
        <w:tc>
          <w:tcPr>
            <w:tcW w:w="185"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price</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98"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9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28.32</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3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30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15.36</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9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13.98</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94"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0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37.98</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9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98" w:type="dxa"/>
            <w:tcBorders/>
            <w:shd w:fill="FFFFFF" w:val="clear"/>
            <w:tcMar>
              <w:bottom w:w="0" w:type="dxa"/>
            </w:tcMar>
            <w:vAlign w:val="center"/>
          </w:tcPr>
          <w:p>
            <w:pPr>
              <w:pStyle w:val="TableContents"/>
              <w:bidi w:val="0"/>
              <w:spacing w:before="0" w:after="0"/>
              <w:ind w:left="0" w:right="0" w:hanging="0"/>
              <w:jc w:val="left"/>
              <w:rPr/>
            </w:pPr>
            <w:r>
              <w:rPr/>
              <w:t>​</w:t>
            </w:r>
          </w:p>
        </w:tc>
        <w:tc>
          <w:tcPr>
            <w:tcW w:w="1192"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1.0 - 1.3</w:t>
            </w:r>
          </w:p>
        </w:tc>
        <w:tc>
          <w:tcPr>
            <w:tcW w:w="185"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335" w:type="dxa"/>
            <w:tcBorders/>
            <w:shd w:fill="FFFFFF" w:val="clear"/>
            <w:tcMar>
              <w:bottom w:w="0" w:type="dxa"/>
            </w:tcMar>
            <w:vAlign w:val="center"/>
          </w:tcPr>
          <w:p>
            <w:pPr>
              <w:pStyle w:val="TableContents"/>
              <w:bidi w:val="0"/>
              <w:spacing w:before="0" w:after="0"/>
              <w:ind w:left="0" w:right="0" w:hanging="0"/>
              <w:jc w:val="left"/>
              <w:rPr/>
            </w:pPr>
            <w:r>
              <w:rPr/>
              <w:t>​</w:t>
            </w:r>
          </w:p>
        </w:tc>
        <w:tc>
          <w:tcPr>
            <w:tcW w:w="1304"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1.0 - 1.6</w:t>
            </w:r>
          </w:p>
        </w:tc>
        <w:tc>
          <w:tcPr>
            <w:tcW w:w="185"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94" w:type="dxa"/>
            <w:tcBorders/>
            <w:shd w:fill="FFFFFF" w:val="clear"/>
            <w:tcMar>
              <w:bottom w:w="0" w:type="dxa"/>
            </w:tcMar>
            <w:vAlign w:val="center"/>
          </w:tcPr>
          <w:p>
            <w:pPr>
              <w:pStyle w:val="TableContents"/>
              <w:bidi w:val="0"/>
              <w:spacing w:before="0" w:after="0"/>
              <w:ind w:left="0" w:right="0" w:hanging="0"/>
              <w:jc w:val="left"/>
              <w:rPr/>
            </w:pPr>
            <w:r>
              <w:rPr/>
              <w:t>​</w:t>
            </w:r>
          </w:p>
        </w:tc>
        <w:tc>
          <w:tcPr>
            <w:tcW w:w="105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1.0 - 1.5</w:t>
            </w:r>
          </w:p>
        </w:tc>
        <w:tc>
          <w:tcPr>
            <w:tcW w:w="185" w:type="dxa"/>
            <w:tcBorders/>
            <w:shd w:fill="FFFFFF" w:val="clear"/>
            <w:tcMar>
              <w:bottom w:w="0" w:type="dxa"/>
            </w:tcMar>
            <w:vAlign w:val="center"/>
          </w:tcPr>
          <w:p>
            <w:pPr>
              <w:pStyle w:val="TableContents"/>
              <w:bidi w:val="0"/>
              <w:spacing w:before="0" w:after="0"/>
              <w:ind w:left="0" w:right="0" w:hanging="0"/>
              <w:jc w:val="left"/>
              <w:rPr/>
            </w:pPr>
            <w:r>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94" w:type="dxa"/>
            <w:tcBorders/>
            <w:shd w:fill="FFFFFF" w:val="clear"/>
            <w:tcMar>
              <w:bottom w:w="0" w:type="dxa"/>
            </w:tcMar>
            <w:vAlign w:val="center"/>
          </w:tcPr>
          <w:p>
            <w:pPr>
              <w:pStyle w:val="TableContents"/>
              <w:bidi w:val="0"/>
              <w:spacing w:before="0" w:after="0"/>
              <w:ind w:left="0" w:right="0" w:hanging="0"/>
              <w:jc w:val="left"/>
              <w:rPr/>
            </w:pPr>
            <w:r>
              <w:rPr/>
              <w:t>​</w:t>
            </w:r>
          </w:p>
        </w:tc>
        <w:tc>
          <w:tcPr>
            <w:tcW w:w="105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1.0 - 1.3</w:t>
            </w:r>
          </w:p>
        </w:tc>
        <w:tc>
          <w:tcPr>
            <w:tcW w:w="185"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98" w:type="dxa"/>
            <w:tcBorders/>
            <w:shd w:fill="CCEEFF" w:val="clear"/>
            <w:tcMar>
              <w:bottom w:w="0" w:type="dxa"/>
            </w:tcMar>
            <w:vAlign w:val="center"/>
          </w:tcPr>
          <w:p>
            <w:pPr>
              <w:pStyle w:val="TableContents"/>
              <w:bidi w:val="0"/>
              <w:spacing w:before="0" w:after="0"/>
              <w:ind w:left="0" w:right="0" w:hanging="0"/>
              <w:jc w:val="left"/>
              <w:rPr/>
            </w:pPr>
            <w:r>
              <w:rPr/>
              <w:t>​</w:t>
            </w:r>
          </w:p>
        </w:tc>
        <w:tc>
          <w:tcPr>
            <w:tcW w:w="119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35" w:type="dxa"/>
            <w:tcBorders/>
            <w:shd w:fill="CCEEFF" w:val="clear"/>
            <w:tcMar>
              <w:bottom w:w="0" w:type="dxa"/>
            </w:tcMar>
            <w:vAlign w:val="center"/>
          </w:tcPr>
          <w:p>
            <w:pPr>
              <w:pStyle w:val="TableContents"/>
              <w:bidi w:val="0"/>
              <w:spacing w:before="0" w:after="0"/>
              <w:ind w:left="0" w:right="0" w:hanging="0"/>
              <w:jc w:val="left"/>
              <w:rPr/>
            </w:pPr>
            <w:r>
              <w:rPr/>
              <w:t>​</w:t>
            </w:r>
          </w:p>
        </w:tc>
        <w:tc>
          <w:tcPr>
            <w:tcW w:w="130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94" w:type="dxa"/>
            <w:tcBorders/>
            <w:shd w:fill="CCEEFF" w:val="clear"/>
            <w:tcMar>
              <w:bottom w:w="0" w:type="dxa"/>
            </w:tcMar>
            <w:vAlign w:val="center"/>
          </w:tcPr>
          <w:p>
            <w:pPr>
              <w:pStyle w:val="TableContents"/>
              <w:bidi w:val="0"/>
              <w:spacing w:before="0" w:after="0"/>
              <w:ind w:left="0" w:right="0" w:hanging="0"/>
              <w:jc w:val="left"/>
              <w:rPr/>
            </w:pPr>
            <w:r>
              <w:rPr/>
              <w:t>​</w:t>
            </w:r>
          </w:p>
        </w:tc>
        <w:tc>
          <w:tcPr>
            <w:tcW w:w="10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94" w:type="dxa"/>
            <w:tcBorders/>
            <w:shd w:fill="CCEEFF" w:val="clear"/>
            <w:tcMar>
              <w:bottom w:w="0" w:type="dxa"/>
            </w:tcMar>
            <w:vAlign w:val="center"/>
          </w:tcPr>
          <w:p>
            <w:pPr>
              <w:pStyle w:val="TableContents"/>
              <w:bidi w:val="0"/>
              <w:spacing w:before="0" w:after="0"/>
              <w:ind w:left="0" w:right="0" w:hanging="0"/>
              <w:jc w:val="left"/>
              <w:rPr/>
            </w:pPr>
            <w:r>
              <w:rPr/>
              <w:t>​</w:t>
            </w:r>
          </w:p>
        </w:tc>
        <w:tc>
          <w:tcPr>
            <w:tcW w:w="10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80</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9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298" w:type="dxa"/>
            <w:tcBorders/>
            <w:shd w:fill="FFFFFF" w:val="clear"/>
            <w:tcMar>
              <w:bottom w:w="0" w:type="dxa"/>
            </w:tcMar>
            <w:vAlign w:val="center"/>
          </w:tcPr>
          <w:p>
            <w:pPr>
              <w:pStyle w:val="TableContents"/>
              <w:bidi w:val="0"/>
              <w:spacing w:before="0" w:after="0"/>
              <w:ind w:left="0" w:right="0" w:hanging="0"/>
              <w:jc w:val="left"/>
              <w:rPr/>
            </w:pPr>
            <w:r>
              <w:rPr/>
              <w:t>​</w:t>
            </w:r>
          </w:p>
        </w:tc>
        <w:tc>
          <w:tcPr>
            <w:tcW w:w="1192" w:type="dxa"/>
            <w:tcBorders/>
            <w:shd w:fill="FFFFFF" w:val="clear"/>
            <w:tcMar>
              <w:bottom w:w="0" w:type="dxa"/>
            </w:tcMar>
            <w:vAlign w:val="center"/>
          </w:tcPr>
          <w:p>
            <w:pPr>
              <w:pStyle w:val="TableContents"/>
              <w:bidi w:val="0"/>
              <w:spacing w:before="0" w:after="0"/>
              <w:ind w:left="0" w:right="0" w:hanging="0"/>
              <w:jc w:val="right"/>
              <w:rPr/>
            </w:pPr>
            <w:r>
              <w:rPr>
                <w:rStyle w:val="Emphasis"/>
              </w:rPr>
              <w:t>—</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335" w:type="dxa"/>
            <w:tcBorders/>
            <w:shd w:fill="FFFFFF" w:val="clear"/>
            <w:tcMar>
              <w:bottom w:w="0" w:type="dxa"/>
            </w:tcMar>
            <w:vAlign w:val="center"/>
          </w:tcPr>
          <w:p>
            <w:pPr>
              <w:pStyle w:val="TableContents"/>
              <w:bidi w:val="0"/>
              <w:spacing w:before="0" w:after="0"/>
              <w:ind w:left="0" w:right="0" w:hanging="0"/>
              <w:jc w:val="left"/>
              <w:rPr/>
            </w:pPr>
            <w:r>
              <w:rPr/>
              <w:t>​</w:t>
            </w:r>
          </w:p>
        </w:tc>
        <w:tc>
          <w:tcPr>
            <w:tcW w:w="1304" w:type="dxa"/>
            <w:tcBorders/>
            <w:shd w:fill="FFFFFF" w:val="clear"/>
            <w:tcMar>
              <w:bottom w:w="0" w:type="dxa"/>
            </w:tcMar>
            <w:vAlign w:val="center"/>
          </w:tcPr>
          <w:p>
            <w:pPr>
              <w:pStyle w:val="TableContents"/>
              <w:bidi w:val="0"/>
              <w:spacing w:before="0" w:after="0"/>
              <w:ind w:left="0" w:right="0" w:hanging="0"/>
              <w:jc w:val="right"/>
              <w:rPr/>
            </w:pPr>
            <w:r>
              <w:rPr>
                <w:rStyle w:val="Emphasis"/>
              </w:rPr>
              <w:t>—</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94" w:type="dxa"/>
            <w:tcBorders/>
            <w:shd w:fill="FFFFFF" w:val="clear"/>
            <w:tcMar>
              <w:bottom w:w="0" w:type="dxa"/>
            </w:tcMar>
            <w:vAlign w:val="center"/>
          </w:tcPr>
          <w:p>
            <w:pPr>
              <w:pStyle w:val="TableContents"/>
              <w:bidi w:val="0"/>
              <w:spacing w:before="0" w:after="0"/>
              <w:ind w:left="0" w:right="0" w:hanging="0"/>
              <w:jc w:val="left"/>
              <w:rPr/>
            </w:pPr>
            <w:r>
              <w:rPr/>
              <w:t>​</w:t>
            </w:r>
          </w:p>
        </w:tc>
        <w:tc>
          <w:tcPr>
            <w:tcW w:w="1055" w:type="dxa"/>
            <w:tcBorders/>
            <w:shd w:fill="FFFFFF" w:val="clear"/>
            <w:tcMar>
              <w:bottom w:w="0" w:type="dxa"/>
            </w:tcMar>
            <w:vAlign w:val="center"/>
          </w:tcPr>
          <w:p>
            <w:pPr>
              <w:pStyle w:val="TableContents"/>
              <w:bidi w:val="0"/>
              <w:spacing w:before="0" w:after="0"/>
              <w:ind w:left="0" w:right="0" w:hanging="0"/>
              <w:jc w:val="right"/>
              <w:rPr/>
            </w:pPr>
            <w:r>
              <w:rPr>
                <w:rStyle w:val="Emphasis"/>
              </w:rPr>
              <w:t>—</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194" w:type="dxa"/>
            <w:tcBorders/>
            <w:shd w:fill="FFFFFF" w:val="clear"/>
            <w:tcMar>
              <w:bottom w:w="0" w:type="dxa"/>
            </w:tcMar>
            <w:vAlign w:val="center"/>
          </w:tcPr>
          <w:p>
            <w:pPr>
              <w:pStyle w:val="TableContents"/>
              <w:bidi w:val="0"/>
              <w:spacing w:before="0" w:after="0"/>
              <w:ind w:left="0" w:right="0" w:hanging="0"/>
              <w:jc w:val="left"/>
              <w:rPr/>
            </w:pPr>
            <w:r>
              <w:rPr/>
              <w:t>​</w:t>
            </w:r>
          </w:p>
        </w:tc>
        <w:tc>
          <w:tcPr>
            <w:tcW w:w="1055" w:type="dxa"/>
            <w:tcBorders/>
            <w:shd w:fill="FFFFFF" w:val="clear"/>
            <w:tcMar>
              <w:bottom w:w="0" w:type="dxa"/>
            </w:tcMar>
            <w:vAlign w:val="center"/>
          </w:tcPr>
          <w:p>
            <w:pPr>
              <w:pStyle w:val="TableContents"/>
              <w:bidi w:val="0"/>
              <w:spacing w:before="0" w:after="0"/>
              <w:ind w:left="0" w:right="0" w:hanging="0"/>
              <w:jc w:val="right"/>
              <w:rPr/>
            </w:pPr>
            <w:r>
              <w:rPr>
                <w:rStyle w:val="Emphasis"/>
              </w:rPr>
              <w:t>—</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rate</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298" w:type="dxa"/>
            <w:tcBorders/>
            <w:shd w:fill="CCEEFF" w:val="clear"/>
            <w:tcMar>
              <w:bottom w:w="0" w:type="dxa"/>
            </w:tcMar>
            <w:vAlign w:val="center"/>
          </w:tcPr>
          <w:p>
            <w:pPr>
              <w:pStyle w:val="TableContents"/>
              <w:bidi w:val="0"/>
              <w:spacing w:before="0" w:after="0"/>
              <w:ind w:left="0" w:right="0" w:hanging="0"/>
              <w:jc w:val="left"/>
              <w:rPr/>
            </w:pPr>
            <w:r>
              <w:rPr/>
              <w:t>​</w:t>
            </w:r>
          </w:p>
        </w:tc>
        <w:tc>
          <w:tcPr>
            <w:tcW w:w="1192"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2.61</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35" w:type="dxa"/>
            <w:tcBorders/>
            <w:shd w:fill="CCEEFF" w:val="clear"/>
            <w:tcMar>
              <w:bottom w:w="0" w:type="dxa"/>
            </w:tcMar>
            <w:vAlign w:val="center"/>
          </w:tcPr>
          <w:p>
            <w:pPr>
              <w:pStyle w:val="TableContents"/>
              <w:bidi w:val="0"/>
              <w:spacing w:before="0" w:after="0"/>
              <w:ind w:left="0" w:right="0" w:hanging="0"/>
              <w:jc w:val="left"/>
              <w:rPr/>
            </w:pPr>
            <w:r>
              <w:rPr/>
              <w:t>​</w:t>
            </w:r>
          </w:p>
        </w:tc>
        <w:tc>
          <w:tcPr>
            <w:tcW w:w="1304"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1.85</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94" w:type="dxa"/>
            <w:tcBorders/>
            <w:shd w:fill="CCEEFF" w:val="clear"/>
            <w:tcMar>
              <w:bottom w:w="0" w:type="dxa"/>
            </w:tcMar>
            <w:vAlign w:val="center"/>
          </w:tcPr>
          <w:p>
            <w:pPr>
              <w:pStyle w:val="TableContents"/>
              <w:bidi w:val="0"/>
              <w:spacing w:before="0" w:after="0"/>
              <w:ind w:left="0" w:right="0" w:hanging="0"/>
              <w:jc w:val="left"/>
              <w:rPr/>
            </w:pPr>
            <w:r>
              <w:rPr/>
              <w:t>​</w:t>
            </w:r>
          </w:p>
        </w:tc>
        <w:tc>
          <w:tcPr>
            <w:tcW w:w="10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194" w:type="dxa"/>
            <w:tcBorders/>
            <w:shd w:fill="CCEEFF" w:val="clear"/>
            <w:tcMar>
              <w:bottom w:w="0" w:type="dxa"/>
            </w:tcMar>
            <w:vAlign w:val="center"/>
          </w:tcPr>
          <w:p>
            <w:pPr>
              <w:pStyle w:val="TableContents"/>
              <w:bidi w:val="0"/>
              <w:spacing w:before="0" w:after="0"/>
              <w:ind w:left="0" w:right="0" w:hanging="0"/>
              <w:jc w:val="left"/>
              <w:rPr/>
            </w:pPr>
            <w:r>
              <w:rPr/>
              <w:t>​</w:t>
            </w:r>
          </w:p>
        </w:tc>
        <w:tc>
          <w:tcPr>
            <w:tcW w:w="105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1.18</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On </w:t>
      </w:r>
      <w:r>
        <w:rPr>
          <w:rStyle w:val="Emphasis"/>
          <w:rFonts w:ascii="Times New Roman;Times;serif" w:hAnsi="Times New Roman;Times;serif"/>
          <w:sz w:val="20"/>
        </w:rPr>
        <w:t xml:space="preserve"> September 9, 2024, </w:t>
      </w:r>
      <w:r>
        <w:rPr>
          <w:rFonts w:ascii="Times New Roman;Times;serif" w:hAnsi="Times New Roman;Times;serif"/>
          <w:sz w:val="20"/>
        </w:rPr>
        <w:t>the Compensation Committee approved the grant of stock options to the Company's Chief Financial Officer in connection with his employment agreement. Subject to his continuing service, </w:t>
      </w:r>
      <w:r>
        <w:rPr>
          <w:rStyle w:val="Emphasis"/>
          <w:rFonts w:ascii="Times New Roman;Times;serif" w:hAnsi="Times New Roman;Times;serif"/>
          <w:sz w:val="20"/>
        </w:rPr>
        <w:t>50%</w:t>
      </w:r>
      <w:r>
        <w:rPr>
          <w:rFonts w:ascii="Times New Roman;Times;serif" w:hAnsi="Times New Roman;Times;serif"/>
          <w:sz w:val="20"/>
        </w:rPr>
        <w:t> of the stock options will vest if the average closing price of the Company's common stock is equal to </w:t>
      </w:r>
      <w:r>
        <w:rPr>
          <w:rStyle w:val="Emphasis"/>
          <w:rFonts w:ascii="Times New Roman;Times;serif" w:hAnsi="Times New Roman;Times;serif"/>
          <w:sz w:val="20"/>
        </w:rPr>
        <w:t>three</w:t>
      </w:r>
      <w:r>
        <w:rPr>
          <w:rFonts w:ascii="Times New Roman;Times;serif" w:hAnsi="Times New Roman;Times;serif"/>
          <w:sz w:val="20"/>
        </w:rPr>
        <w:t> times the exercise price for </w:t>
      </w:r>
      <w:r>
        <w:rPr>
          <w:rStyle w:val="Emphasis"/>
          <w:rFonts w:ascii="Times New Roman;Times;serif" w:hAnsi="Times New Roman;Times;serif"/>
          <w:sz w:val="20"/>
        </w:rPr>
        <w:t>ten</w:t>
      </w:r>
      <w:r>
        <w:rPr>
          <w:rFonts w:ascii="Times New Roman;Times;serif" w:hAnsi="Times New Roman;Times;serif"/>
          <w:sz w:val="20"/>
        </w:rPr>
        <w:t> consecutive trading days, and the remaining </w:t>
      </w:r>
      <w:r>
        <w:rPr>
          <w:rStyle w:val="Emphasis"/>
          <w:rFonts w:ascii="Times New Roman;Times;serif" w:hAnsi="Times New Roman;Times;serif"/>
          <w:sz w:val="20"/>
        </w:rPr>
        <w:t>50%</w:t>
      </w:r>
      <w:r>
        <w:rPr>
          <w:rFonts w:ascii="Times New Roman;Times;serif" w:hAnsi="Times New Roman;Times;serif"/>
          <w:sz w:val="20"/>
        </w:rPr>
        <w:t> of the shares subject to these stock options will vest if the average closing price of the Company's common stock is equal to </w:t>
      </w:r>
      <w:r>
        <w:rPr>
          <w:rStyle w:val="Emphasis"/>
          <w:rFonts w:ascii="Times New Roman;Times;serif" w:hAnsi="Times New Roman;Times;serif"/>
          <w:sz w:val="20"/>
        </w:rPr>
        <w:t>five</w:t>
      </w:r>
      <w:r>
        <w:rPr>
          <w:rFonts w:ascii="Times New Roman;Times;serif" w:hAnsi="Times New Roman;Times;serif"/>
          <w:sz w:val="20"/>
        </w:rPr>
        <w:t> times the exercise price for </w:t>
      </w:r>
      <w:r>
        <w:rPr>
          <w:rStyle w:val="Emphasis"/>
          <w:rFonts w:ascii="Times New Roman;Times;serif" w:hAnsi="Times New Roman;Times;serif"/>
          <w:sz w:val="20"/>
        </w:rPr>
        <w:t>10</w:t>
      </w:r>
      <w:r>
        <w:rPr>
          <w:rFonts w:ascii="Times New Roman;Times;serif" w:hAnsi="Times New Roman;Times;serif"/>
          <w:sz w:val="20"/>
        </w:rPr>
        <w:t xml:space="preserve"> consecutive trading days. Notwithstanding the foregoing, the options will immediately vest upon the occurrence of certain conditions such as a change in control. The fair value of the stock option granted was estimated on the date of the grant using a Monte Carlo simulation model. The key assumptions utilized to calculate the grant-date fair value for the award is summarized below:</w:t>
      </w:r>
    </w:p>
    <w:p>
      <w:pPr>
        <w:pStyle w:val="TextBody"/>
        <w:bidi w:val="0"/>
        <w:spacing w:before="0" w:after="0"/>
        <w:ind w:left="0" w:right="0" w:hanging="0"/>
        <w:jc w:val="left"/>
        <w:rPr/>
      </w:pPr>
      <w:r>
        <w:rPr/>
        <w:t> </w:t>
      </w:r>
    </w:p>
    <w:tbl>
      <w:tblPr>
        <w:tblW w:w="3772" w:type="dxa"/>
        <w:jc w:val="left"/>
        <w:tblInd w:w="0" w:type="dxa"/>
        <w:tblLayout w:type="fixed"/>
        <w:tblCellMar>
          <w:top w:w="0" w:type="dxa"/>
          <w:left w:w="0" w:type="dxa"/>
          <w:bottom w:w="28" w:type="dxa"/>
          <w:right w:w="0" w:type="dxa"/>
        </w:tblCellMar>
      </w:tblPr>
      <w:tblGrid>
        <w:gridCol w:w="1985"/>
        <w:gridCol w:w="23"/>
        <w:gridCol w:w="322"/>
        <w:gridCol w:w="1257"/>
        <w:gridCol w:w="185"/>
      </w:tblGrid>
      <w:tr>
        <w:trPr/>
        <w:tc>
          <w:tcPr>
            <w:tcW w:w="1985"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Issuance Date</w:t>
            </w:r>
          </w:p>
        </w:tc>
        <w:tc>
          <w:tcPr>
            <w:tcW w:w="23" w:type="dxa"/>
            <w:tcBorders/>
            <w:tcMar>
              <w:bottom w:w="0" w:type="dxa"/>
            </w:tcMar>
            <w:vAlign w:val="center"/>
          </w:tcPr>
          <w:p>
            <w:pPr>
              <w:pStyle w:val="TableContents"/>
              <w:bidi w:val="0"/>
              <w:spacing w:before="0" w:after="0"/>
              <w:ind w:left="0" w:right="0" w:hanging="0"/>
              <w:jc w:val="left"/>
              <w:rPr/>
            </w:pPr>
            <w:r>
              <w:rPr/>
              <w:t>​</w:t>
            </w:r>
          </w:p>
        </w:tc>
        <w:tc>
          <w:tcPr>
            <w:tcW w:w="1579" w:type="dxa"/>
            <w:gridSpan w:val="2"/>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September 9, 2024</w:t>
            </w:r>
          </w:p>
        </w:tc>
        <w:tc>
          <w:tcPr>
            <w:tcW w:w="185" w:type="dxa"/>
            <w:tcBorders/>
            <w:tcMar>
              <w:bottom w:w="0" w:type="dxa"/>
            </w:tcMar>
            <w:vAlign w:val="center"/>
          </w:tcPr>
          <w:p>
            <w:pPr>
              <w:pStyle w:val="TableContents"/>
              <w:bidi w:val="0"/>
              <w:spacing w:before="0" w:after="0"/>
              <w:ind w:left="0" w:right="0" w:hanging="0"/>
              <w:jc w:val="left"/>
              <w:rPr/>
            </w:pPr>
            <w:r>
              <w:rPr/>
              <w:t>​</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lower range</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2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57" w:type="dxa"/>
            <w:tcBorders/>
            <w:shd w:fill="CCEEFF" w:val="clear"/>
            <w:tcMar>
              <w:bottom w:w="0" w:type="dxa"/>
            </w:tcMar>
            <w:vAlign w:val="center"/>
          </w:tcPr>
          <w:p>
            <w:pPr>
              <w:pStyle w:val="TableContents"/>
              <w:bidi w:val="0"/>
              <w:spacing w:before="0" w:after="0"/>
              <w:ind w:left="0" w:right="0" w:hanging="0"/>
              <w:jc w:val="right"/>
              <w:rPr/>
            </w:pPr>
            <w:r>
              <w:rPr/>
              <w:t>—</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9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higher range</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322"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5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15.59</w:t>
            </w:r>
          </w:p>
        </w:tc>
        <w:tc>
          <w:tcPr>
            <w:tcW w:w="185"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Exercise price</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22"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25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2.75</w:t>
            </w:r>
          </w:p>
        </w:tc>
        <w:tc>
          <w:tcPr>
            <w:tcW w:w="185" w:type="dxa"/>
            <w:tcBorders/>
            <w:shd w:fill="CCEEFF" w:val="clear"/>
            <w:tcMar>
              <w:bottom w:w="0" w:type="dxa"/>
            </w:tcMar>
            <w:vAlign w:val="center"/>
          </w:tcPr>
          <w:p>
            <w:pPr>
              <w:pStyle w:val="TableContents"/>
              <w:bidi w:val="0"/>
              <w:spacing w:before="0" w:after="0"/>
              <w:ind w:left="0" w:right="0" w:hanging="0"/>
              <w:jc w:val="left"/>
              <w:rPr/>
            </w:pPr>
            <w:r>
              <w:rPr/>
              <w:t>​</w:t>
            </w:r>
          </w:p>
        </w:tc>
      </w:tr>
      <w:tr>
        <w:trPr/>
        <w:tc>
          <w:tcPr>
            <w:tcW w:w="19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term (in years)</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322" w:type="dxa"/>
            <w:tcBorders/>
            <w:shd w:fill="FFFFFF" w:val="clear"/>
            <w:tcMar>
              <w:bottom w:w="0" w:type="dxa"/>
            </w:tcMar>
            <w:vAlign w:val="center"/>
          </w:tcPr>
          <w:p>
            <w:pPr>
              <w:pStyle w:val="TableContents"/>
              <w:bidi w:val="0"/>
              <w:spacing w:before="0" w:after="0"/>
              <w:ind w:left="0" w:right="0" w:hanging="0"/>
              <w:jc w:val="left"/>
              <w:rPr/>
            </w:pPr>
            <w:r>
              <w:rPr/>
              <w:t>​</w:t>
            </w:r>
          </w:p>
        </w:tc>
        <w:tc>
          <w:tcPr>
            <w:tcW w:w="125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3.0 - 4.3</w:t>
            </w:r>
          </w:p>
        </w:tc>
        <w:tc>
          <w:tcPr>
            <w:tcW w:w="185" w:type="dxa"/>
            <w:tcBorders/>
            <w:shd w:fill="FFFFFF" w:val="clear"/>
            <w:tcMar>
              <w:bottom w:w="0" w:type="dxa"/>
            </w:tcMar>
            <w:vAlign w:val="center"/>
          </w:tcPr>
          <w:p>
            <w:pPr>
              <w:pStyle w:val="TableContents"/>
              <w:bidi w:val="0"/>
              <w:spacing w:before="0" w:after="0"/>
              <w:ind w:left="0" w:right="0" w:hanging="0"/>
              <w:jc w:val="left"/>
              <w:rPr/>
            </w:pPr>
            <w:r>
              <w:rPr/>
              <w:t>​</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Expected volatility</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22" w:type="dxa"/>
            <w:tcBorders/>
            <w:shd w:fill="CCEEFF" w:val="clear"/>
            <w:tcMar>
              <w:bottom w:w="0" w:type="dxa"/>
            </w:tcMar>
            <w:vAlign w:val="center"/>
          </w:tcPr>
          <w:p>
            <w:pPr>
              <w:pStyle w:val="TableContents"/>
              <w:bidi w:val="0"/>
              <w:spacing w:before="0" w:after="0"/>
              <w:ind w:left="0" w:right="0" w:hanging="0"/>
              <w:jc w:val="left"/>
              <w:rPr/>
            </w:pPr>
            <w:r>
              <w:rPr/>
              <w:t>​</w:t>
            </w:r>
          </w:p>
        </w:tc>
        <w:tc>
          <w:tcPr>
            <w:tcW w:w="125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9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Dividend yield</w:t>
            </w:r>
          </w:p>
        </w:tc>
        <w:tc>
          <w:tcPr>
            <w:tcW w:w="23" w:type="dxa"/>
            <w:tcBorders/>
            <w:shd w:fill="FFFFFF" w:val="clear"/>
            <w:tcMar>
              <w:bottom w:w="0" w:type="dxa"/>
            </w:tcMar>
            <w:vAlign w:val="center"/>
          </w:tcPr>
          <w:p>
            <w:pPr>
              <w:pStyle w:val="TableContents"/>
              <w:bidi w:val="0"/>
              <w:spacing w:before="0" w:after="0"/>
              <w:ind w:left="0" w:right="0" w:hanging="0"/>
              <w:jc w:val="left"/>
              <w:rPr/>
            </w:pPr>
            <w:r>
              <w:rPr/>
              <w:t>​</w:t>
            </w:r>
          </w:p>
        </w:tc>
        <w:tc>
          <w:tcPr>
            <w:tcW w:w="322" w:type="dxa"/>
            <w:tcBorders/>
            <w:shd w:fill="FFFFFF" w:val="clear"/>
            <w:tcMar>
              <w:bottom w:w="0" w:type="dxa"/>
            </w:tcMar>
            <w:vAlign w:val="center"/>
          </w:tcPr>
          <w:p>
            <w:pPr>
              <w:pStyle w:val="TableContents"/>
              <w:bidi w:val="0"/>
              <w:spacing w:before="0" w:after="0"/>
              <w:ind w:left="0" w:right="0" w:hanging="0"/>
              <w:jc w:val="left"/>
              <w:rPr/>
            </w:pPr>
            <w:r>
              <w:rPr/>
              <w:t>​</w:t>
            </w:r>
          </w:p>
        </w:tc>
        <w:tc>
          <w:tcPr>
            <w:tcW w:w="1257" w:type="dxa"/>
            <w:tcBorders/>
            <w:shd w:fill="FFFFFF" w:val="clear"/>
            <w:tcMar>
              <w:bottom w:w="0" w:type="dxa"/>
            </w:tcMar>
            <w:vAlign w:val="center"/>
          </w:tcPr>
          <w:p>
            <w:pPr>
              <w:pStyle w:val="TableContents"/>
              <w:bidi w:val="0"/>
              <w:spacing w:before="0" w:after="0"/>
              <w:ind w:left="0" w:right="0" w:hanging="0"/>
              <w:jc w:val="right"/>
              <w:rPr/>
            </w:pPr>
            <w:r>
              <w:rPr>
                <w:rStyle w:val="Emphasis"/>
              </w:rPr>
              <w:t>—</w:t>
            </w:r>
          </w:p>
        </w:tc>
        <w:tc>
          <w:tcPr>
            <w:tcW w:w="1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Risk-free rate</w:t>
            </w:r>
          </w:p>
        </w:tc>
        <w:tc>
          <w:tcPr>
            <w:tcW w:w="23" w:type="dxa"/>
            <w:tcBorders/>
            <w:shd w:fill="CCEEFF" w:val="clear"/>
            <w:tcMar>
              <w:bottom w:w="0" w:type="dxa"/>
            </w:tcMar>
            <w:vAlign w:val="center"/>
          </w:tcPr>
          <w:p>
            <w:pPr>
              <w:pStyle w:val="TableContents"/>
              <w:bidi w:val="0"/>
              <w:spacing w:before="0" w:after="0"/>
              <w:ind w:left="0" w:right="0" w:hanging="0"/>
              <w:jc w:val="left"/>
              <w:rPr/>
            </w:pPr>
            <w:r>
              <w:rPr/>
              <w:t>​</w:t>
            </w:r>
          </w:p>
        </w:tc>
        <w:tc>
          <w:tcPr>
            <w:tcW w:w="322" w:type="dxa"/>
            <w:tcBorders/>
            <w:shd w:fill="CCEEFF" w:val="clear"/>
            <w:tcMar>
              <w:bottom w:w="0" w:type="dxa"/>
            </w:tcMar>
            <w:vAlign w:val="center"/>
          </w:tcPr>
          <w:p>
            <w:pPr>
              <w:pStyle w:val="TableContents"/>
              <w:bidi w:val="0"/>
              <w:spacing w:before="0" w:after="0"/>
              <w:ind w:left="0" w:right="0" w:hanging="0"/>
              <w:jc w:val="left"/>
              <w:rPr/>
            </w:pPr>
            <w:r>
              <w:rPr/>
              <w:t>​</w:t>
            </w:r>
          </w:p>
        </w:tc>
        <w:tc>
          <w:tcPr>
            <w:tcW w:w="125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3.7</w:t>
            </w:r>
          </w:p>
        </w:tc>
        <w:tc>
          <w:tcPr>
            <w:tcW w:w="185"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details of stock option activity were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97"/>
        <w:gridCol w:w="23"/>
        <w:gridCol w:w="43"/>
        <w:gridCol w:w="1327"/>
        <w:gridCol w:w="23"/>
        <w:gridCol w:w="23"/>
        <w:gridCol w:w="447"/>
        <w:gridCol w:w="1739"/>
        <w:gridCol w:w="23"/>
        <w:gridCol w:w="23"/>
        <w:gridCol w:w="217"/>
        <w:gridCol w:w="2630"/>
        <w:gridCol w:w="23"/>
        <w:gridCol w:w="23"/>
        <w:gridCol w:w="410"/>
        <w:gridCol w:w="1106"/>
        <w:gridCol w:w="28"/>
      </w:tblGrid>
      <w:tr>
        <w:trPr/>
        <w:tc>
          <w:tcPr>
            <w:tcW w:w="2097"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stock options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18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exercise price per share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84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remaining contractual term (in years)</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516"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Aggregate intrinsic value</w:t>
            </w:r>
          </w:p>
        </w:tc>
        <w:tc>
          <w:tcPr>
            <w:tcW w:w="28" w:type="dxa"/>
            <w:tcBorders/>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as of December 31, 2025</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132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331,667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2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5.6</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6" w:type="dxa"/>
            <w:tcBorders/>
            <w:shd w:fill="CCEEFF" w:val="clear"/>
            <w:vAlign w:val="center"/>
          </w:tcPr>
          <w:p>
            <w:pPr>
              <w:pStyle w:val="TableContents"/>
              <w:bidi w:val="0"/>
              <w:spacing w:before="0" w:after="0"/>
              <w:ind w:left="0" w:right="0" w:hanging="0"/>
              <w:jc w:val="right"/>
              <w:rPr/>
            </w:pPr>
            <w:r>
              <w:rPr/>
              <w:t>—</w:t>
            </w:r>
          </w:p>
        </w:tc>
        <w:tc>
          <w:tcPr>
            <w:tcW w:w="28" w:type="dxa"/>
            <w:tcBorders/>
            <w:shd w:fill="CCEEFF" w:val="clear"/>
            <w:vAlign w:val="center"/>
          </w:tcPr>
          <w:p>
            <w:pPr>
              <w:pStyle w:val="TableContents"/>
              <w:bidi w:val="0"/>
              <w:spacing w:before="0" w:after="0"/>
              <w:ind w:left="0" w:right="0" w:hanging="0"/>
              <w:jc w:val="left"/>
              <w:rPr/>
            </w:pPr>
            <w:r>
              <w:rPr/>
              <w:t>​</w:t>
            </w:r>
          </w:p>
        </w:tc>
      </w:tr>
      <w:tr>
        <w:trPr/>
        <w:tc>
          <w:tcPr>
            <w:tcW w:w="209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shd w:fill="FFFFFF" w:val="clear"/>
            <w:vAlign w:val="center"/>
          </w:tcPr>
          <w:p>
            <w:pPr>
              <w:pStyle w:val="TableContents"/>
              <w:bidi w:val="0"/>
              <w:spacing w:before="0" w:after="0"/>
              <w:ind w:left="0" w:right="0" w:hanging="0"/>
              <w:jc w:val="left"/>
              <w:rPr/>
            </w:pPr>
            <w:r>
              <w:rPr/>
              <w:t>​</w:t>
            </w:r>
          </w:p>
        </w:tc>
        <w:tc>
          <w:tcPr>
            <w:tcW w:w="1327"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47" w:type="dxa"/>
            <w:tcBorders/>
            <w:shd w:fill="FFFFFF" w:val="clear"/>
            <w:vAlign w:val="center"/>
          </w:tcPr>
          <w:p>
            <w:pPr>
              <w:pStyle w:val="TableContents"/>
              <w:bidi w:val="0"/>
              <w:spacing w:before="0" w:after="0"/>
              <w:ind w:left="0" w:right="0" w:hanging="0"/>
              <w:jc w:val="left"/>
              <w:rPr/>
            </w:pPr>
            <w:r>
              <w:rPr/>
              <w:t>​</w:t>
            </w:r>
          </w:p>
        </w:tc>
        <w:tc>
          <w:tcPr>
            <w:tcW w:w="1739"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7" w:type="dxa"/>
            <w:tcBorders/>
            <w:shd w:fill="FFFFFF" w:val="clear"/>
            <w:vAlign w:val="center"/>
          </w:tcPr>
          <w:p>
            <w:pPr>
              <w:pStyle w:val="TableContents"/>
              <w:bidi w:val="0"/>
              <w:spacing w:before="0" w:after="0"/>
              <w:ind w:left="0" w:right="0" w:hanging="0"/>
              <w:jc w:val="left"/>
              <w:rPr/>
            </w:pPr>
            <w:r>
              <w:rPr/>
              <w:t>​</w:t>
            </w:r>
          </w:p>
        </w:tc>
        <w:tc>
          <w:tcPr>
            <w:tcW w:w="2630"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10" w:type="dxa"/>
            <w:tcBorders/>
            <w:shd w:fill="FFFFFF" w:val="clear"/>
            <w:vAlign w:val="center"/>
          </w:tcPr>
          <w:p>
            <w:pPr>
              <w:pStyle w:val="TableContents"/>
              <w:bidi w:val="0"/>
              <w:spacing w:before="0" w:after="0"/>
              <w:ind w:left="0" w:right="0" w:hanging="0"/>
              <w:jc w:val="left"/>
              <w:rPr/>
            </w:pPr>
            <w:r>
              <w:rPr/>
              <w:t>​</w:t>
            </w:r>
          </w:p>
        </w:tc>
        <w:tc>
          <w:tcPr>
            <w:tcW w:w="1106" w:type="dxa"/>
            <w:tcBorders/>
            <w:shd w:fill="FFFFFF" w:val="clear"/>
            <w:vAlign w:val="center"/>
          </w:tcPr>
          <w:p>
            <w:pPr>
              <w:pStyle w:val="TableContents"/>
              <w:bidi w:val="0"/>
              <w:spacing w:before="0" w:after="0"/>
              <w:ind w:left="0" w:right="0" w:hanging="0"/>
              <w:jc w:val="right"/>
              <w:rPr/>
            </w:pPr>
            <w:r>
              <w:rPr/>
              <w:t>—</w:t>
            </w:r>
          </w:p>
        </w:tc>
        <w:tc>
          <w:tcPr>
            <w:tcW w:w="28" w:type="dxa"/>
            <w:tcBorders/>
            <w:shd w:fill="FFFFFF" w:val="clear"/>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Exercised</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shd w:fill="CCEEFF" w:val="clear"/>
            <w:vAlign w:val="center"/>
          </w:tcPr>
          <w:p>
            <w:pPr>
              <w:pStyle w:val="TableContents"/>
              <w:bidi w:val="0"/>
              <w:spacing w:before="0" w:after="0"/>
              <w:ind w:left="0" w:right="0" w:hanging="0"/>
              <w:jc w:val="left"/>
              <w:rPr/>
            </w:pPr>
            <w:r>
              <w:rPr/>
              <w:t>​</w:t>
            </w:r>
          </w:p>
        </w:tc>
        <w:tc>
          <w:tcPr>
            <w:tcW w:w="1327"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pPr>
            <w:r>
              <w:rPr/>
              <w:t>​</w:t>
            </w:r>
          </w:p>
        </w:tc>
        <w:tc>
          <w:tcPr>
            <w:tcW w:w="1739"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2630" w:type="dxa"/>
            <w:tcBorders/>
            <w:shd w:fill="CCEEFF" w:val="clear"/>
            <w:vAlign w:val="center"/>
          </w:tcPr>
          <w:p>
            <w:pPr>
              <w:pStyle w:val="TableContents"/>
              <w:bidi w:val="0"/>
              <w:spacing w:before="0" w:after="0"/>
              <w:ind w:left="0" w:right="0" w:hanging="0"/>
              <w:jc w:val="right"/>
              <w:rPr/>
            </w:pPr>
            <w:r>
              <w:rPr>
                <w:rStyle w:val="Emphasis"/>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pPr>
            <w:r>
              <w:rPr/>
              <w:t>​</w:t>
            </w:r>
          </w:p>
        </w:tc>
        <w:tc>
          <w:tcPr>
            <w:tcW w:w="1106" w:type="dxa"/>
            <w:tcBorders/>
            <w:shd w:fill="CCEEFF" w:val="clear"/>
            <w:vAlign w:val="center"/>
          </w:tcPr>
          <w:p>
            <w:pPr>
              <w:pStyle w:val="TableContents"/>
              <w:bidi w:val="0"/>
              <w:spacing w:before="0" w:after="0"/>
              <w:ind w:left="0" w:right="0" w:hanging="0"/>
              <w:jc w:val="right"/>
              <w:rPr/>
            </w:pPr>
            <w:r>
              <w:rPr>
                <w:rStyle w:val="Emphasis"/>
              </w:rPr>
              <w:t>—</w:t>
            </w:r>
          </w:p>
        </w:tc>
        <w:tc>
          <w:tcPr>
            <w:tcW w:w="28" w:type="dxa"/>
            <w:tcBorders/>
            <w:shd w:fill="CCEEFF" w:val="clear"/>
            <w:vAlign w:val="center"/>
          </w:tcPr>
          <w:p>
            <w:pPr>
              <w:pStyle w:val="TableContents"/>
              <w:bidi w:val="0"/>
              <w:spacing w:before="0" w:after="0"/>
              <w:ind w:left="0" w:right="0" w:hanging="0"/>
              <w:jc w:val="left"/>
              <w:rPr/>
            </w:pPr>
            <w:r>
              <w:rPr/>
              <w:t>​</w:t>
            </w:r>
          </w:p>
        </w:tc>
      </w:tr>
      <w:tr>
        <w:trPr/>
        <w:tc>
          <w:tcPr>
            <w:tcW w:w="209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32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47" w:type="dxa"/>
            <w:tcBorders/>
            <w:shd w:fill="FFFFFF" w:val="clear"/>
            <w:vAlign w:val="center"/>
          </w:tcPr>
          <w:p>
            <w:pPr>
              <w:pStyle w:val="TableContents"/>
              <w:bidi w:val="0"/>
              <w:spacing w:before="0" w:after="0"/>
              <w:ind w:left="0" w:right="0" w:hanging="0"/>
              <w:jc w:val="left"/>
              <w:rPr/>
            </w:pPr>
            <w:r>
              <w:rPr/>
              <w:t>​</w:t>
            </w:r>
          </w:p>
        </w:tc>
        <w:tc>
          <w:tcPr>
            <w:tcW w:w="1739"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7" w:type="dxa"/>
            <w:tcBorders/>
            <w:shd w:fill="FFFFFF" w:val="clear"/>
            <w:vAlign w:val="center"/>
          </w:tcPr>
          <w:p>
            <w:pPr>
              <w:pStyle w:val="TableContents"/>
              <w:bidi w:val="0"/>
              <w:spacing w:before="0" w:after="0"/>
              <w:ind w:left="0" w:right="0" w:hanging="0"/>
              <w:jc w:val="left"/>
              <w:rPr/>
            </w:pPr>
            <w:r>
              <w:rPr/>
              <w:t>​</w:t>
            </w:r>
          </w:p>
        </w:tc>
        <w:tc>
          <w:tcPr>
            <w:tcW w:w="2630" w:type="dxa"/>
            <w:tcBorders/>
            <w:shd w:fill="FFFFFF" w:val="clear"/>
            <w:vAlign w:val="center"/>
          </w:tcPr>
          <w:p>
            <w:pPr>
              <w:pStyle w:val="TableContents"/>
              <w:bidi w:val="0"/>
              <w:spacing w:before="0" w:after="0"/>
              <w:ind w:left="0" w:right="0" w:hanging="0"/>
              <w:jc w:val="right"/>
              <w:rPr/>
            </w:pPr>
            <w:r>
              <w:rPr>
                <w:rStyle w:val="Emphasis"/>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10" w:type="dxa"/>
            <w:tcBorders/>
            <w:shd w:fill="FFFFFF" w:val="clear"/>
            <w:vAlign w:val="center"/>
          </w:tcPr>
          <w:p>
            <w:pPr>
              <w:pStyle w:val="TableContents"/>
              <w:bidi w:val="0"/>
              <w:spacing w:before="0" w:after="0"/>
              <w:ind w:left="0" w:right="0" w:hanging="0"/>
              <w:jc w:val="left"/>
              <w:rPr/>
            </w:pPr>
            <w:r>
              <w:rPr/>
              <w:t>​</w:t>
            </w:r>
          </w:p>
        </w:tc>
        <w:tc>
          <w:tcPr>
            <w:tcW w:w="1106" w:type="dxa"/>
            <w:tcBorders/>
            <w:shd w:fill="FFFFFF" w:val="clear"/>
            <w:vAlign w:val="center"/>
          </w:tcPr>
          <w:p>
            <w:pPr>
              <w:pStyle w:val="TableContents"/>
              <w:bidi w:val="0"/>
              <w:spacing w:before="0" w:after="0"/>
              <w:ind w:left="0" w:right="0" w:hanging="0"/>
              <w:jc w:val="right"/>
              <w:rPr/>
            </w:pPr>
            <w:r>
              <w:rPr>
                <w:rStyle w:val="Emphasis"/>
              </w:rPr>
              <w:t>—</w:t>
            </w:r>
          </w:p>
        </w:tc>
        <w:tc>
          <w:tcPr>
            <w:tcW w:w="28" w:type="dxa"/>
            <w:tcBorders/>
            <w:shd w:fill="FFFFFF" w:val="clear"/>
            <w:vAlign w:val="center"/>
          </w:tcPr>
          <w:p>
            <w:pPr>
              <w:pStyle w:val="TableContents"/>
              <w:bidi w:val="0"/>
              <w:spacing w:before="0" w:after="0"/>
              <w:ind w:left="0" w:right="0" w:hanging="0"/>
              <w:jc w:val="left"/>
              <w:rPr/>
            </w:pPr>
            <w:r>
              <w:rPr/>
              <w:t>​</w:t>
            </w:r>
          </w:p>
        </w:tc>
      </w:tr>
      <w:tr>
        <w:trPr/>
        <w:tc>
          <w:tcPr>
            <w:tcW w:w="2097"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Outstanding as of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43"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327"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331,667</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4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3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16.35</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17" w:type="dxa"/>
            <w:tcBorders/>
            <w:shd w:fill="CCEEFF" w:val="clear"/>
            <w:vAlign w:val="center"/>
          </w:tcPr>
          <w:p>
            <w:pPr>
              <w:pStyle w:val="TableContents"/>
              <w:bidi w:val="0"/>
              <w:spacing w:before="0" w:after="0"/>
              <w:ind w:left="0" w:right="0" w:hanging="0"/>
              <w:jc w:val="left"/>
              <w:rPr/>
            </w:pPr>
            <w:r>
              <w:rPr/>
              <w:t>​</w:t>
            </w:r>
          </w:p>
        </w:tc>
        <w:tc>
          <w:tcPr>
            <w:tcW w:w="263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41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6"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w:t>
            </w:r>
          </w:p>
        </w:tc>
        <w:tc>
          <w:tcPr>
            <w:tcW w:w="28" w:type="dxa"/>
            <w:tcBorders/>
            <w:shd w:fill="CCEEFF" w:val="clear"/>
            <w:vAlign w:val="center"/>
          </w:tcPr>
          <w:p>
            <w:pPr>
              <w:pStyle w:val="TableContents"/>
              <w:bidi w:val="0"/>
              <w:spacing w:before="0" w:after="0"/>
              <w:ind w:left="0" w:right="0" w:hanging="0"/>
              <w:jc w:val="left"/>
              <w:rPr/>
            </w:pPr>
            <w:r>
              <w:rPr/>
              <w:t>​</w:t>
            </w:r>
          </w:p>
        </w:tc>
      </w:tr>
      <w:tr>
        <w:trPr/>
        <w:tc>
          <w:tcPr>
            <w:tcW w:w="2097"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Options exercisable as of June 30, 2026</w:t>
            </w:r>
          </w:p>
        </w:tc>
        <w:tc>
          <w:tcPr>
            <w:tcW w:w="23" w:type="dxa"/>
            <w:tcBorders/>
            <w:shd w:fill="FFFFFF" w:val="clear"/>
            <w:vAlign w:val="center"/>
          </w:tcPr>
          <w:p>
            <w:pPr>
              <w:pStyle w:val="TableContents"/>
              <w:bidi w:val="0"/>
              <w:spacing w:before="0" w:after="0"/>
              <w:ind w:left="0" w:right="0" w:hanging="0"/>
              <w:jc w:val="left"/>
              <w:rPr/>
            </w:pPr>
            <w:r>
              <w:rPr/>
              <w:t>​</w:t>
            </w:r>
          </w:p>
        </w:tc>
        <w:tc>
          <w:tcPr>
            <w:tcW w:w="43"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32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203,333</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47"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739"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21.26</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17" w:type="dxa"/>
            <w:tcBorders/>
            <w:shd w:fill="FFFFFF" w:val="clear"/>
            <w:vAlign w:val="center"/>
          </w:tcPr>
          <w:p>
            <w:pPr>
              <w:pStyle w:val="TableContents"/>
              <w:bidi w:val="0"/>
              <w:spacing w:before="0" w:after="0"/>
              <w:ind w:left="0" w:right="0" w:hanging="0"/>
              <w:jc w:val="left"/>
              <w:rPr/>
            </w:pPr>
            <w:r>
              <w:rPr/>
              <w:t>​</w:t>
            </w:r>
          </w:p>
        </w:tc>
        <w:tc>
          <w:tcPr>
            <w:tcW w:w="263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4.0</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41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1106" w:type="dxa"/>
            <w:tcBorders/>
            <w:shd w:fill="FFFFFF" w:val="clear"/>
            <w:vAlign w:val="center"/>
          </w:tcPr>
          <w:p>
            <w:pPr>
              <w:pStyle w:val="TableContents"/>
              <w:bidi w:val="0"/>
              <w:spacing w:before="0" w:after="0"/>
              <w:ind w:left="0" w:right="0" w:hanging="0"/>
              <w:jc w:val="right"/>
              <w:rPr/>
            </w:pPr>
            <w:r>
              <w:rPr/>
              <w:t>—</w:t>
            </w:r>
          </w:p>
        </w:tc>
        <w:tc>
          <w:tcPr>
            <w:tcW w:w="28" w:type="dxa"/>
            <w:tcBorders/>
            <w:shd w:fill="FFFF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aggregate intrinsic value amounts in the table above represent the difference between the closing price of the Company's common stock at the end of the reporting period and the corresponding exercise prices, multiplied by the number of in-the-money stock options as of the same date.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the unvested balance of stock options was as follows: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62"/>
        <w:gridCol w:w="23"/>
        <w:gridCol w:w="51"/>
        <w:gridCol w:w="1562"/>
        <w:gridCol w:w="80"/>
        <w:gridCol w:w="23"/>
        <w:gridCol w:w="665"/>
        <w:gridCol w:w="2028"/>
        <w:gridCol w:w="23"/>
        <w:gridCol w:w="23"/>
        <w:gridCol w:w="270"/>
        <w:gridCol w:w="3269"/>
        <w:gridCol w:w="26"/>
      </w:tblGrid>
      <w:tr>
        <w:trPr/>
        <w:tc>
          <w:tcPr>
            <w:tcW w:w="2162"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61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Number of stock options</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269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exercise price per share</w:t>
            </w:r>
          </w:p>
        </w:tc>
        <w:tc>
          <w:tcPr>
            <w:tcW w:w="23"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5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Weighted average remaining contractual term (in years)</w:t>
            </w:r>
          </w:p>
        </w:tc>
        <w:tc>
          <w:tcPr>
            <w:tcW w:w="26" w:type="dxa"/>
            <w:tcBorders/>
            <w:vAlign w:val="center"/>
          </w:tcPr>
          <w:p>
            <w:pPr>
              <w:pStyle w:val="TableContents"/>
              <w:bidi w:val="0"/>
              <w:spacing w:before="0" w:after="0"/>
              <w:ind w:left="0" w:right="0" w:hanging="0"/>
              <w:jc w:val="left"/>
              <w:rPr/>
            </w:pPr>
            <w:r>
              <w:rPr/>
              <w:t>​</w:t>
            </w:r>
          </w:p>
        </w:tc>
      </w:tr>
      <w:tr>
        <w:trPr/>
        <w:tc>
          <w:tcPr>
            <w:tcW w:w="21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Unvested as of December 31, 2025</w:t>
            </w:r>
          </w:p>
        </w:tc>
        <w:tc>
          <w:tcPr>
            <w:tcW w:w="23" w:type="dxa"/>
            <w:tcBorders/>
            <w:shd w:fill="CCEEFF" w:val="clear"/>
            <w:vAlign w:val="center"/>
          </w:tcPr>
          <w:p>
            <w:pPr>
              <w:pStyle w:val="TableContents"/>
              <w:bidi w:val="0"/>
              <w:spacing w:before="0" w:after="0"/>
              <w:ind w:left="0" w:right="0" w:hanging="0"/>
              <w:jc w:val="left"/>
              <w:rPr/>
            </w:pPr>
            <w:r>
              <w:rPr/>
              <w:t>​</w:t>
            </w:r>
          </w:p>
        </w:tc>
        <w:tc>
          <w:tcPr>
            <w:tcW w:w="51" w:type="dxa"/>
            <w:tcBorders/>
            <w:shd w:fill="CCEEFF" w:val="clear"/>
            <w:vAlign w:val="center"/>
          </w:tcPr>
          <w:p>
            <w:pPr>
              <w:pStyle w:val="TableContents"/>
              <w:bidi w:val="0"/>
              <w:spacing w:before="0" w:after="0"/>
              <w:ind w:left="0" w:right="0" w:hanging="0"/>
              <w:jc w:val="left"/>
              <w:rPr/>
            </w:pPr>
            <w:r>
              <w:rPr/>
              <w:t>​</w:t>
            </w:r>
          </w:p>
        </w:tc>
        <w:tc>
          <w:tcPr>
            <w:tcW w:w="1562"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138,500</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02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4.33</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269"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8.5</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2162"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Granted</w:t>
            </w:r>
          </w:p>
        </w:tc>
        <w:tc>
          <w:tcPr>
            <w:tcW w:w="23" w:type="dxa"/>
            <w:tcBorders/>
            <w:shd w:fill="FFFFFF" w:val="clear"/>
            <w:vAlign w:val="center"/>
          </w:tcPr>
          <w:p>
            <w:pPr>
              <w:pStyle w:val="TableContents"/>
              <w:bidi w:val="0"/>
              <w:spacing w:before="0" w:after="0"/>
              <w:ind w:left="0" w:right="0" w:hanging="0"/>
              <w:jc w:val="left"/>
              <w:rPr/>
            </w:pPr>
            <w:r>
              <w:rPr/>
              <w:t>​</w:t>
            </w:r>
          </w:p>
        </w:tc>
        <w:tc>
          <w:tcPr>
            <w:tcW w:w="51" w:type="dxa"/>
            <w:tcBorders/>
            <w:shd w:fill="FFFFFF" w:val="clear"/>
            <w:vAlign w:val="center"/>
          </w:tcPr>
          <w:p>
            <w:pPr>
              <w:pStyle w:val="TableContents"/>
              <w:bidi w:val="0"/>
              <w:spacing w:before="0" w:after="0"/>
              <w:ind w:left="0" w:right="0" w:hanging="0"/>
              <w:jc w:val="left"/>
              <w:rPr/>
            </w:pPr>
            <w:r>
              <w:rPr/>
              <w:t>​</w:t>
            </w:r>
          </w:p>
        </w:tc>
        <w:tc>
          <w:tcPr>
            <w:tcW w:w="1562"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65" w:type="dxa"/>
            <w:tcBorders/>
            <w:shd w:fill="FFFFFF" w:val="clear"/>
            <w:vAlign w:val="center"/>
          </w:tcPr>
          <w:p>
            <w:pPr>
              <w:pStyle w:val="TableContents"/>
              <w:bidi w:val="0"/>
              <w:spacing w:before="0" w:after="0"/>
              <w:ind w:left="0" w:right="0" w:hanging="0"/>
              <w:jc w:val="left"/>
              <w:rPr/>
            </w:pPr>
            <w:r>
              <w:rPr/>
              <w:t>​</w:t>
            </w:r>
          </w:p>
        </w:tc>
        <w:tc>
          <w:tcPr>
            <w:tcW w:w="2028"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70" w:type="dxa"/>
            <w:tcBorders/>
            <w:shd w:fill="FFFFFF" w:val="clear"/>
            <w:vAlign w:val="center"/>
          </w:tcPr>
          <w:p>
            <w:pPr>
              <w:pStyle w:val="TableContents"/>
              <w:bidi w:val="0"/>
              <w:spacing w:before="0" w:after="0"/>
              <w:ind w:left="0" w:right="0" w:hanging="0"/>
              <w:jc w:val="left"/>
              <w:rPr/>
            </w:pPr>
            <w:r>
              <w:rPr/>
              <w:t>​</w:t>
            </w:r>
          </w:p>
        </w:tc>
        <w:tc>
          <w:tcPr>
            <w:tcW w:w="3269" w:type="dxa"/>
            <w:tcBorders/>
            <w:shd w:fill="FFFFFF" w:val="clear"/>
            <w:vAlign w:val="center"/>
          </w:tcPr>
          <w:p>
            <w:pPr>
              <w:pStyle w:val="TableContents"/>
              <w:bidi w:val="0"/>
              <w:spacing w:before="0" w:after="0"/>
              <w:ind w:left="0" w:right="0" w:hanging="0"/>
              <w:jc w:val="right"/>
              <w:rPr/>
            </w:pPr>
            <w:r>
              <w:rPr>
                <w:rStyle w:val="Emphasis"/>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2162"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23" w:type="dxa"/>
            <w:tcBorders/>
            <w:shd w:fill="CCEEFF" w:val="clear"/>
            <w:vAlign w:val="center"/>
          </w:tcPr>
          <w:p>
            <w:pPr>
              <w:pStyle w:val="TableContents"/>
              <w:bidi w:val="0"/>
              <w:spacing w:before="0" w:after="0"/>
              <w:ind w:left="0" w:right="0" w:hanging="0"/>
              <w:jc w:val="left"/>
              <w:rPr/>
            </w:pPr>
            <w:r>
              <w:rPr/>
              <w:t>​</w:t>
            </w:r>
          </w:p>
        </w:tc>
        <w:tc>
          <w:tcPr>
            <w:tcW w:w="51" w:type="dxa"/>
            <w:tcBorders/>
            <w:shd w:fill="CCEEFF" w:val="clear"/>
            <w:vAlign w:val="center"/>
          </w:tcPr>
          <w:p>
            <w:pPr>
              <w:pStyle w:val="TableContents"/>
              <w:bidi w:val="0"/>
              <w:spacing w:before="0" w:after="0"/>
              <w:ind w:left="0" w:right="0" w:hanging="0"/>
              <w:jc w:val="left"/>
              <w:rPr/>
            </w:pPr>
            <w:r>
              <w:rPr/>
              <w:t>​</w:t>
            </w:r>
          </w:p>
        </w:tc>
        <w:tc>
          <w:tcPr>
            <w:tcW w:w="1562" w:type="dxa"/>
            <w:tcBorders/>
            <w:shd w:fill="CCEEFF" w:val="clear"/>
            <w:vAlign w:val="center"/>
          </w:tcPr>
          <w:p>
            <w:pPr>
              <w:pStyle w:val="TableContents"/>
              <w:bidi w:val="0"/>
              <w:spacing w:before="0" w:after="0"/>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65" w:type="dxa"/>
            <w:tcBorders/>
            <w:shd w:fill="CCEEFF" w:val="clear"/>
            <w:vAlign w:val="center"/>
          </w:tcPr>
          <w:p>
            <w:pPr>
              <w:pStyle w:val="TableContents"/>
              <w:bidi w:val="0"/>
              <w:spacing w:before="0" w:after="0"/>
              <w:ind w:left="0" w:right="0" w:hanging="0"/>
              <w:jc w:val="left"/>
              <w:rPr/>
            </w:pPr>
            <w:r>
              <w:rPr/>
              <w:t>​</w:t>
            </w:r>
          </w:p>
        </w:tc>
        <w:tc>
          <w:tcPr>
            <w:tcW w:w="2028" w:type="dxa"/>
            <w:tcBorders/>
            <w:shd w:fill="CCEEFF" w:val="clear"/>
            <w:vAlign w:val="center"/>
          </w:tcPr>
          <w:p>
            <w:pPr>
              <w:pStyle w:val="TableContents"/>
              <w:bidi w:val="0"/>
              <w:spacing w:before="0" w:after="0"/>
              <w:ind w:left="0" w:right="0" w:hanging="0"/>
              <w:jc w:val="righ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70" w:type="dxa"/>
            <w:tcBorders/>
            <w:shd w:fill="CCEEFF" w:val="clear"/>
            <w:vAlign w:val="center"/>
          </w:tcPr>
          <w:p>
            <w:pPr>
              <w:pStyle w:val="TableContents"/>
              <w:bidi w:val="0"/>
              <w:spacing w:before="0" w:after="0"/>
              <w:ind w:left="0" w:right="0" w:hanging="0"/>
              <w:jc w:val="left"/>
              <w:rPr/>
            </w:pPr>
            <w:r>
              <w:rPr/>
              <w:t>​</w:t>
            </w:r>
          </w:p>
        </w:tc>
        <w:tc>
          <w:tcPr>
            <w:tcW w:w="3269" w:type="dxa"/>
            <w:tcBorders/>
            <w:shd w:fill="CCEEFF" w:val="clear"/>
            <w:vAlign w:val="center"/>
          </w:tcPr>
          <w:p>
            <w:pPr>
              <w:pStyle w:val="TableContents"/>
              <w:bidi w:val="0"/>
              <w:spacing w:before="0" w:after="0"/>
              <w:ind w:left="0" w:right="0" w:hanging="0"/>
              <w:jc w:val="right"/>
              <w:rPr/>
            </w:pPr>
            <w:r>
              <w:rPr>
                <w:rStyle w:val="Emphasis"/>
              </w:rPr>
              <w:t>—</w:t>
            </w:r>
          </w:p>
        </w:tc>
        <w:tc>
          <w:tcPr>
            <w:tcW w:w="26" w:type="dxa"/>
            <w:tcBorders/>
            <w:shd w:fill="CCEEFF" w:val="clear"/>
            <w:vAlign w:val="center"/>
          </w:tcPr>
          <w:p>
            <w:pPr>
              <w:pStyle w:val="TableContents"/>
              <w:bidi w:val="0"/>
              <w:spacing w:before="0" w:after="0"/>
              <w:ind w:left="0" w:right="0" w:hanging="0"/>
              <w:jc w:val="left"/>
              <w:rPr/>
            </w:pPr>
            <w:r>
              <w:rPr/>
              <w:t>​</w:t>
            </w:r>
          </w:p>
        </w:tc>
      </w:tr>
      <w:tr>
        <w:trPr/>
        <w:tc>
          <w:tcPr>
            <w:tcW w:w="2162"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w:t>
            </w:r>
          </w:p>
        </w:tc>
        <w:tc>
          <w:tcPr>
            <w:tcW w:w="23" w:type="dxa"/>
            <w:tcBorders/>
            <w:shd w:fill="FFFFFF" w:val="clear"/>
            <w:vAlign w:val="center"/>
          </w:tcPr>
          <w:p>
            <w:pPr>
              <w:pStyle w:val="TableContents"/>
              <w:bidi w:val="0"/>
              <w:spacing w:before="0" w:after="0"/>
              <w:ind w:left="0" w:right="0" w:hanging="0"/>
              <w:jc w:val="left"/>
              <w:rPr/>
            </w:pPr>
            <w:r>
              <w:rPr/>
              <w:t>​</w:t>
            </w:r>
          </w:p>
        </w:tc>
        <w:tc>
          <w:tcPr>
            <w:tcW w:w="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562"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(10,166</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66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202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2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3269"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rStyle w:val="Emphasis"/>
              </w:rPr>
              <w:t>—</w:t>
            </w:r>
          </w:p>
        </w:tc>
        <w:tc>
          <w:tcPr>
            <w:tcW w:w="26" w:type="dxa"/>
            <w:tcBorders/>
            <w:shd w:fill="FFFFFF" w:val="clear"/>
            <w:vAlign w:val="center"/>
          </w:tcPr>
          <w:p>
            <w:pPr>
              <w:pStyle w:val="TableContents"/>
              <w:bidi w:val="0"/>
              <w:spacing w:before="0" w:after="0"/>
              <w:ind w:left="0" w:right="0" w:hanging="0"/>
              <w:jc w:val="left"/>
              <w:rPr/>
            </w:pPr>
            <w:r>
              <w:rPr/>
              <w:t>​</w:t>
            </w:r>
          </w:p>
        </w:tc>
      </w:tr>
      <w:tr>
        <w:trPr/>
        <w:tc>
          <w:tcPr>
            <w:tcW w:w="2162"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Unvested as of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1562"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128,334</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6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02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2.81</w:t>
            </w:r>
          </w:p>
        </w:tc>
        <w:tc>
          <w:tcPr>
            <w:tcW w:w="23"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270"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pPr>
            <w:r>
              <w:rPr/>
              <w:t>​</w:t>
            </w:r>
          </w:p>
        </w:tc>
        <w:tc>
          <w:tcPr>
            <w:tcW w:w="3269"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p>
        </w:tc>
        <w:tc>
          <w:tcPr>
            <w:tcW w:w="26"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Compensation expense recognized for stock options was $15 and $18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respectively, and $30 and $37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and </w:t>
      </w:r>
      <w:r>
        <w:rPr>
          <w:rStyle w:val="Emphasis"/>
          <w:rFonts w:ascii="Times New Roman;Times;serif" w:hAnsi="Times New Roman;Times;serif"/>
          <w:sz w:val="20"/>
        </w:rPr>
        <w:t>2025,</w:t>
      </w:r>
      <w:r>
        <w:rPr>
          <w:rFonts w:ascii="Times New Roman;Times;serif" w:hAnsi="Times New Roman;Times;serif"/>
          <w:sz w:val="20"/>
        </w:rPr>
        <w:t xml:space="preserve"> respectively, was recognized in product development and general and administrative expenses in the consolidated statements of operations. As of </w:t>
      </w:r>
      <w:r>
        <w:rPr>
          <w:rStyle w:val="Emphasis"/>
          <w:rFonts w:ascii="Times New Roman;Times;serif" w:hAnsi="Times New Roman;Times;serif"/>
          <w:sz w:val="20"/>
        </w:rPr>
        <w:t xml:space="preserve"> June 30, 2026</w:t>
      </w:r>
      <w:r>
        <w:rPr>
          <w:rFonts w:ascii="Times New Roman;Times;serif" w:hAnsi="Times New Roman;Times;serif"/>
          <w:sz w:val="20"/>
        </w:rPr>
        <w:t>, there was $100 of unrecognized share-based compensation with respect to outstanding stock options.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Restricted stock units and restricted stock</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details of unvested RSU activity were as follows:</w:t>
      </w:r>
    </w:p>
    <w:p>
      <w:pPr>
        <w:pStyle w:val="TextBody"/>
        <w:bidi w:val="0"/>
        <w:spacing w:before="0" w:after="0"/>
        <w:ind w:left="0" w:right="0" w:hanging="0"/>
        <w:jc w:val="left"/>
        <w:rPr/>
      </w:pPr>
      <w:r>
        <w:rPr/>
        <w:t> </w:t>
      </w:r>
    </w:p>
    <w:tbl>
      <w:tblPr>
        <w:tblW w:w="7707" w:type="dxa"/>
        <w:jc w:val="left"/>
        <w:tblInd w:w="0" w:type="dxa"/>
        <w:tblLayout w:type="fixed"/>
        <w:tblCellMar>
          <w:top w:w="0" w:type="dxa"/>
          <w:left w:w="0" w:type="dxa"/>
          <w:bottom w:w="0" w:type="dxa"/>
          <w:right w:w="0" w:type="dxa"/>
        </w:tblCellMar>
      </w:tblPr>
      <w:tblGrid>
        <w:gridCol w:w="2825"/>
        <w:gridCol w:w="23"/>
        <w:gridCol w:w="36"/>
        <w:gridCol w:w="1333"/>
        <w:gridCol w:w="80"/>
        <w:gridCol w:w="23"/>
        <w:gridCol w:w="687"/>
        <w:gridCol w:w="2677"/>
        <w:gridCol w:w="23"/>
      </w:tblGrid>
      <w:tr>
        <w:trPr/>
        <w:tc>
          <w:tcPr>
            <w:tcW w:w="2825"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136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Number of units</w:t>
            </w:r>
          </w:p>
        </w:tc>
        <w:tc>
          <w:tcPr>
            <w:tcW w:w="80" w:type="dxa"/>
            <w:tcBorders/>
            <w:vAlign w:val="center"/>
          </w:tcPr>
          <w:p>
            <w:pPr>
              <w:pStyle w:val="TableContents"/>
              <w:bidi w:val="0"/>
              <w:spacing w:before="0" w:after="0"/>
              <w:ind w:left="0" w:right="0" w:hanging="0"/>
              <w:jc w:val="left"/>
              <w:rPr/>
            </w:pPr>
            <w:r>
              <w:rPr/>
              <w:t>​</w:t>
            </w:r>
          </w:p>
        </w:tc>
        <w:tc>
          <w:tcPr>
            <w:tcW w:w="23" w:type="dxa"/>
            <w:tcBorders/>
            <w:vAlign w:val="center"/>
          </w:tcPr>
          <w:p>
            <w:pPr>
              <w:pStyle w:val="TableContents"/>
              <w:bidi w:val="0"/>
              <w:spacing w:before="0" w:after="0"/>
              <w:ind w:left="0" w:right="0" w:hanging="0"/>
              <w:jc w:val="left"/>
              <w:rPr/>
            </w:pPr>
            <w:r>
              <w:rPr/>
              <w:t>​</w:t>
            </w:r>
          </w:p>
        </w:tc>
        <w:tc>
          <w:tcPr>
            <w:tcW w:w="33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b/>
                <w:sz w:val="20"/>
              </w:rPr>
            </w:pPr>
            <w:r>
              <w:rPr>
                <w:rFonts w:ascii="Times New Roman" w:hAnsi="Times New Roman"/>
                <w:b/>
                <w:sz w:val="20"/>
              </w:rPr>
              <w:t>Weighted average grant-date fair value</w:t>
            </w:r>
          </w:p>
        </w:tc>
        <w:tc>
          <w:tcPr>
            <w:tcW w:w="23" w:type="dxa"/>
            <w:tcBorders/>
            <w:vAlign w:val="center"/>
          </w:tcPr>
          <w:p>
            <w:pPr>
              <w:pStyle w:val="TableContents"/>
              <w:bidi w:val="0"/>
              <w:spacing w:before="0" w:after="0"/>
              <w:ind w:left="0" w:right="0" w:hanging="0"/>
              <w:jc w:val="left"/>
              <w:rPr/>
            </w:pPr>
            <w:r>
              <w:rPr/>
              <w:t>​</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Unvested as of December 31, 2025</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13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1,471,345</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11.12</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Granted</w:t>
            </w:r>
          </w:p>
        </w:tc>
        <w:tc>
          <w:tcPr>
            <w:tcW w:w="23" w:type="dxa"/>
            <w:tcBorders/>
            <w:shd w:fill="FFFFFF" w:val="clear"/>
            <w:vAlign w:val="center"/>
          </w:tcPr>
          <w:p>
            <w:pPr>
              <w:pStyle w:val="TableContents"/>
              <w:bidi w:val="0"/>
              <w:spacing w:before="0" w:after="0"/>
              <w:ind w:left="0" w:right="0" w:hanging="0"/>
              <w:jc w:val="left"/>
              <w:rPr/>
            </w:pPr>
            <w:r>
              <w:rPr/>
              <w:t>​</w:t>
            </w:r>
          </w:p>
        </w:tc>
        <w:tc>
          <w:tcPr>
            <w:tcW w:w="36" w:type="dxa"/>
            <w:tcBorders/>
            <w:shd w:fill="FFFFFF" w:val="clear"/>
            <w:vAlign w:val="center"/>
          </w:tcPr>
          <w:p>
            <w:pPr>
              <w:pStyle w:val="TableContents"/>
              <w:bidi w:val="0"/>
              <w:spacing w:before="0" w:after="0"/>
              <w:ind w:left="0" w:right="0" w:hanging="0"/>
              <w:jc w:val="left"/>
              <w:rPr/>
            </w:pPr>
            <w:r>
              <w:rPr/>
              <w:t>​</w:t>
            </w:r>
          </w:p>
        </w:tc>
        <w:tc>
          <w:tcPr>
            <w:tcW w:w="1333"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1,084,206</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87" w:type="dxa"/>
            <w:tcBorders/>
            <w:shd w:fill="FFFFFF" w:val="clear"/>
            <w:vAlign w:val="center"/>
          </w:tcPr>
          <w:p>
            <w:pPr>
              <w:pStyle w:val="TableContents"/>
              <w:bidi w:val="0"/>
              <w:spacing w:before="0" w:after="0"/>
              <w:ind w:left="0" w:right="0" w:hanging="0"/>
              <w:jc w:val="left"/>
              <w:rPr/>
            </w:pPr>
            <w:r>
              <w:rPr/>
              <w:t>​</w:t>
            </w:r>
          </w:p>
        </w:tc>
        <w:tc>
          <w:tcPr>
            <w:tcW w:w="26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3.19</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Vested and delivered</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13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(513,369</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26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3.26</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Withheld as treasury stock </w:t>
            </w:r>
            <w:r>
              <w:rPr>
                <w:rFonts w:ascii="Times New Roman" w:hAnsi="Times New Roman"/>
                <w:position w:val="7"/>
                <w:sz w:val="16"/>
                <w:sz w:val="20"/>
              </w:rPr>
              <w:t>(1)</w:t>
            </w:r>
          </w:p>
        </w:tc>
        <w:tc>
          <w:tcPr>
            <w:tcW w:w="23" w:type="dxa"/>
            <w:tcBorders/>
            <w:shd w:fill="FFFFFF" w:val="clear"/>
            <w:vAlign w:val="center"/>
          </w:tcPr>
          <w:p>
            <w:pPr>
              <w:pStyle w:val="TableContents"/>
              <w:bidi w:val="0"/>
              <w:spacing w:before="0" w:after="0"/>
              <w:ind w:left="0" w:right="0" w:hanging="0"/>
              <w:jc w:val="left"/>
              <w:rPr/>
            </w:pPr>
            <w:r>
              <w:rPr/>
              <w:t>​</w:t>
            </w:r>
          </w:p>
        </w:tc>
        <w:tc>
          <w:tcPr>
            <w:tcW w:w="36" w:type="dxa"/>
            <w:tcBorders/>
            <w:shd w:fill="FFFFFF" w:val="clear"/>
            <w:vAlign w:val="center"/>
          </w:tcPr>
          <w:p>
            <w:pPr>
              <w:pStyle w:val="TableContents"/>
              <w:bidi w:val="0"/>
              <w:spacing w:before="0" w:after="0"/>
              <w:ind w:left="0" w:right="0" w:hanging="0"/>
              <w:jc w:val="left"/>
              <w:rPr/>
            </w:pPr>
            <w:r>
              <w:rPr/>
              <w:t>​</w:t>
            </w:r>
          </w:p>
        </w:tc>
        <w:tc>
          <w:tcPr>
            <w:tcW w:w="1333" w:type="dxa"/>
            <w:tcBorders/>
            <w:shd w:fill="FFFFFF" w:val="clear"/>
            <w:vAlign w:val="center"/>
          </w:tcPr>
          <w:p>
            <w:pPr>
              <w:pStyle w:val="TableContents"/>
              <w:bidi w:val="0"/>
              <w:spacing w:before="0" w:after="0"/>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w:t>
            </w:r>
          </w:p>
        </w:tc>
        <w:tc>
          <w:tcPr>
            <w:tcW w:w="23" w:type="dxa"/>
            <w:tcBorders/>
            <w:shd w:fill="FFFFFF" w:val="clear"/>
            <w:vAlign w:val="center"/>
          </w:tcPr>
          <w:p>
            <w:pPr>
              <w:pStyle w:val="TableContents"/>
              <w:bidi w:val="0"/>
              <w:spacing w:before="0" w:after="0"/>
              <w:ind w:left="0" w:right="0" w:hanging="0"/>
              <w:jc w:val="left"/>
              <w:rPr/>
            </w:pPr>
            <w:r>
              <w:rPr/>
              <w:t>​</w:t>
            </w:r>
          </w:p>
        </w:tc>
        <w:tc>
          <w:tcPr>
            <w:tcW w:w="687" w:type="dxa"/>
            <w:tcBorders/>
            <w:shd w:fill="FFFFFF" w:val="clear"/>
            <w:vAlign w:val="center"/>
          </w:tcPr>
          <w:p>
            <w:pPr>
              <w:pStyle w:val="TableContents"/>
              <w:bidi w:val="0"/>
              <w:spacing w:before="0" w:after="0"/>
              <w:ind w:left="0" w:right="0" w:hanging="0"/>
              <w:jc w:val="left"/>
              <w:rPr/>
            </w:pPr>
            <w:r>
              <w:rPr/>
              <w:t>​</w:t>
            </w:r>
          </w:p>
        </w:tc>
        <w:tc>
          <w:tcPr>
            <w:tcW w:w="2677" w:type="dxa"/>
            <w:tcBorders/>
            <w:shd w:fill="FFFFFF" w:val="clear"/>
            <w:vAlign w:val="center"/>
          </w:tcPr>
          <w:p>
            <w:pPr>
              <w:pStyle w:val="TableContents"/>
              <w:bidi w:val="0"/>
              <w:spacing w:before="0" w:after="0"/>
              <w:ind w:left="0" w:right="0" w:hanging="0"/>
              <w:jc w:val="right"/>
              <w:rPr/>
            </w:pPr>
            <w:r>
              <w:rPr/>
              <w:t>—</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 xml:space="preserve">Vested not delivered </w:t>
            </w:r>
            <w:r>
              <w:rPr>
                <w:rFonts w:ascii="Times New Roman" w:hAnsi="Times New Roman"/>
                <w:position w:val="7"/>
                <w:sz w:val="16"/>
                <w:sz w:val="20"/>
              </w:rPr>
              <w:t>(2)</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13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(66,070</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pPr>
            <w:r>
              <w:rPr/>
              <w:t>​</w:t>
            </w:r>
          </w:p>
        </w:tc>
        <w:tc>
          <w:tcPr>
            <w:tcW w:w="26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1.95</w:t>
            </w:r>
          </w:p>
        </w:tc>
        <w:tc>
          <w:tcPr>
            <w:tcW w:w="23" w:type="dxa"/>
            <w:tcBorders/>
            <w:shd w:fill="CCEEFF" w:val="clear"/>
            <w:vAlign w:val="center"/>
          </w:tcPr>
          <w:p>
            <w:pPr>
              <w:pStyle w:val="TableContents"/>
              <w:bidi w:val="0"/>
              <w:spacing w:before="0" w:after="0"/>
              <w:ind w:left="0" w:right="0" w:hanging="0"/>
              <w:jc w:val="left"/>
              <w:rPr/>
            </w:pPr>
            <w:r>
              <w:rPr/>
              <w:t>​</w:t>
            </w:r>
          </w:p>
        </w:tc>
      </w:tr>
      <w:tr>
        <w:trPr/>
        <w:tc>
          <w:tcPr>
            <w:tcW w:w="282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Forfeited</w:t>
            </w:r>
          </w:p>
        </w:tc>
        <w:tc>
          <w:tcPr>
            <w:tcW w:w="23" w:type="dxa"/>
            <w:tcBorders/>
            <w:shd w:fill="FFFFFF" w:val="clear"/>
            <w:vAlign w:val="center"/>
          </w:tcPr>
          <w:p>
            <w:pPr>
              <w:pStyle w:val="TableContents"/>
              <w:bidi w:val="0"/>
              <w:spacing w:before="0" w:after="0"/>
              <w:ind w:left="0" w:right="0" w:hanging="0"/>
              <w:jc w:val="left"/>
              <w:rPr/>
            </w:pPr>
            <w:r>
              <w:rPr/>
              <w:t>​</w:t>
            </w:r>
          </w:p>
        </w:tc>
        <w:tc>
          <w:tcPr>
            <w:tcW w:w="36"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w:t>
            </w:r>
          </w:p>
        </w:tc>
        <w:tc>
          <w:tcPr>
            <w:tcW w:w="133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(139,909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3" w:type="dxa"/>
            <w:tcBorders/>
            <w:shd w:fill="FFFFFF" w:val="clear"/>
            <w:vAlign w:val="center"/>
          </w:tcPr>
          <w:p>
            <w:pPr>
              <w:pStyle w:val="TableContents"/>
              <w:bidi w:val="0"/>
              <w:spacing w:before="0" w:after="0"/>
              <w:ind w:left="0" w:right="0" w:hanging="0"/>
              <w:jc w:val="left"/>
              <w:rPr/>
            </w:pPr>
            <w:r>
              <w:rPr/>
              <w:t>​</w:t>
            </w:r>
          </w:p>
        </w:tc>
        <w:tc>
          <w:tcPr>
            <w:tcW w:w="687" w:type="dxa"/>
            <w:tcBorders/>
            <w:shd w:fill="FFFFFF" w:val="clear"/>
            <w:vAlign w:val="center"/>
          </w:tcPr>
          <w:p>
            <w:pPr>
              <w:pStyle w:val="TableContents"/>
              <w:bidi w:val="0"/>
              <w:spacing w:before="0" w:after="0"/>
              <w:ind w:left="0" w:right="0" w:hanging="0"/>
              <w:jc w:val="left"/>
              <w:rPr/>
            </w:pPr>
            <w:r>
              <w:rPr/>
              <w:t>​</w:t>
            </w:r>
          </w:p>
        </w:tc>
        <w:tc>
          <w:tcPr>
            <w:tcW w:w="267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2.96</w:t>
            </w:r>
          </w:p>
        </w:tc>
        <w:tc>
          <w:tcPr>
            <w:tcW w:w="23" w:type="dxa"/>
            <w:tcBorders/>
            <w:shd w:fill="FFFFFF" w:val="clear"/>
            <w:vAlign w:val="center"/>
          </w:tcPr>
          <w:p>
            <w:pPr>
              <w:pStyle w:val="TableContents"/>
              <w:bidi w:val="0"/>
              <w:spacing w:before="0" w:after="0"/>
              <w:ind w:left="0" w:right="0" w:hanging="0"/>
              <w:jc w:val="left"/>
              <w:rPr/>
            </w:pPr>
            <w:r>
              <w:rPr/>
              <w:t>​</w:t>
            </w:r>
          </w:p>
        </w:tc>
      </w:tr>
      <w:tr>
        <w:trPr/>
        <w:tc>
          <w:tcPr>
            <w:tcW w:w="282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Unvested as of June 30, 2026</w:t>
            </w:r>
          </w:p>
        </w:tc>
        <w:tc>
          <w:tcPr>
            <w:tcW w:w="23" w:type="dxa"/>
            <w:tcBorders/>
            <w:shd w:fill="CCEEFF" w:val="clear"/>
            <w:vAlign w:val="center"/>
          </w:tcPr>
          <w:p>
            <w:pPr>
              <w:pStyle w:val="TableContents"/>
              <w:bidi w:val="0"/>
              <w:spacing w:before="0" w:after="0"/>
              <w:ind w:left="0" w:right="0" w:hanging="0"/>
              <w:jc w:val="left"/>
              <w:rPr/>
            </w:pPr>
            <w:r>
              <w:rPr/>
              <w:t>​</w:t>
            </w:r>
          </w:p>
        </w:tc>
        <w:tc>
          <w:tcPr>
            <w:tcW w:w="36" w:type="dxa"/>
            <w:tcBorders/>
            <w:shd w:fill="CCEEFF" w:val="clear"/>
            <w:vAlign w:val="center"/>
          </w:tcPr>
          <w:p>
            <w:pPr>
              <w:pStyle w:val="TableContents"/>
              <w:bidi w:val="0"/>
              <w:spacing w:before="0" w:after="0"/>
              <w:ind w:left="0" w:right="0" w:hanging="0"/>
              <w:jc w:val="left"/>
              <w:rPr/>
            </w:pPr>
            <w:r>
              <w:rPr/>
              <w:t>​</w:t>
            </w:r>
          </w:p>
        </w:tc>
        <w:tc>
          <w:tcPr>
            <w:tcW w:w="1333"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1,836,203</w:t>
            </w:r>
          </w:p>
        </w:tc>
        <w:tc>
          <w:tcPr>
            <w:tcW w:w="80" w:type="dxa"/>
            <w:tcBorders/>
            <w:shd w:fill="CCEEFF" w:val="clear"/>
            <w:vAlign w:val="center"/>
          </w:tcPr>
          <w:p>
            <w:pPr>
              <w:pStyle w:val="TableContents"/>
              <w:bidi w:val="0"/>
              <w:spacing w:before="0" w:after="0"/>
              <w:ind w:left="0" w:right="0" w:hanging="0"/>
              <w:jc w:val="left"/>
              <w:rPr/>
            </w:pPr>
            <w:r>
              <w:rPr/>
              <w:t>​</w:t>
            </w:r>
          </w:p>
        </w:tc>
        <w:tc>
          <w:tcPr>
            <w:tcW w:w="23" w:type="dxa"/>
            <w:tcBorders/>
            <w:shd w:fill="CCEEFF" w:val="clear"/>
            <w:vAlign w:val="center"/>
          </w:tcPr>
          <w:p>
            <w:pPr>
              <w:pStyle w:val="TableContents"/>
              <w:bidi w:val="0"/>
              <w:spacing w:before="0" w:after="0"/>
              <w:ind w:left="0" w:right="0" w:hanging="0"/>
              <w:jc w:val="left"/>
              <w:rPr/>
            </w:pPr>
            <w:r>
              <w:rPr/>
              <w:t>​</w:t>
            </w:r>
          </w:p>
        </w:tc>
        <w:tc>
          <w:tcPr>
            <w:tcW w:w="687"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267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9.54</w:t>
            </w:r>
          </w:p>
        </w:tc>
        <w:tc>
          <w:tcPr>
            <w:tcW w:w="23" w:type="dxa"/>
            <w:tcBorders/>
            <w:shd w:fill="CCEEFF" w:val="clear"/>
            <w:vAlign w:val="center"/>
          </w:tcPr>
          <w:p>
            <w:pPr>
              <w:pStyle w:val="TableContents"/>
              <w:bidi w:val="0"/>
              <w:spacing w:before="0" w:after="0"/>
              <w:ind w:left="0" w:right="0" w:hanging="0"/>
              <w:jc w:val="left"/>
              <w:rPr/>
            </w:pPr>
            <w:r>
              <w:rPr/>
              <w:t>​</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77"/>
        <w:gridCol w:w="10028"/>
      </w:tblGrid>
      <w:tr>
        <w:trPr/>
        <w:tc>
          <w:tcPr>
            <w:tcW w:w="177"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w:t>
            </w:r>
          </w:p>
        </w:tc>
        <w:tc>
          <w:tcPr>
            <w:tcW w:w="10028" w:type="dxa"/>
            <w:tcBorders/>
            <w:vAlign w:val="center"/>
          </w:tcPr>
          <w:p>
            <w:pPr>
              <w:pStyle w:val="TableContents"/>
              <w:bidi w:val="0"/>
              <w:spacing w:before="0" w:after="0"/>
              <w:ind w:left="0" w:right="0" w:hanging="0"/>
              <w:jc w:val="left"/>
              <w:rPr/>
            </w:pPr>
            <w:r>
              <w:rPr>
                <w:rFonts w:ascii="Times New Roman;Times;serif" w:hAnsi="Times New Roman;Times;serif"/>
                <w:sz w:val="20"/>
              </w:rPr>
              <w:t>As discussed in Note </w:t>
            </w:r>
            <w:r>
              <w:rPr>
                <w:rStyle w:val="Emphasis"/>
                <w:rFonts w:ascii="Times New Roman;Times;serif" w:hAnsi="Times New Roman;Times;serif"/>
                <w:sz w:val="20"/>
              </w:rPr>
              <w:t>7</w:t>
            </w:r>
            <w:r>
              <w:rPr>
                <w:rFonts w:ascii="Times New Roman;Times;serif" w:hAnsi="Times New Roman;Times;serif"/>
                <w:sz w:val="20"/>
              </w:rPr>
              <w:t xml:space="preserve">, </w:t>
            </w:r>
            <w:r>
              <w:rPr>
                <w:rFonts w:ascii="Times New Roman;Times;serif" w:hAnsi="Times New Roman;Times;serif"/>
                <w:i/>
                <w:sz w:val="20"/>
              </w:rPr>
              <w:t>Equity</w:t>
            </w:r>
            <w:r>
              <w:rPr>
                <w:rFonts w:ascii="Times New Roman;Times;serif" w:hAnsi="Times New Roman;Times;serif"/>
                <w:sz w:val="20"/>
              </w:rPr>
              <w:t>, the treasury stock relates to shares withheld to cover statutory withholding taxes upon the delivery of shares following the vesting of RSUs. As of </w:t>
            </w:r>
            <w:r>
              <w:rPr>
                <w:rStyle w:val="Emphasis"/>
                <w:rFonts w:ascii="Times New Roman;Times;serif" w:hAnsi="Times New Roman;Times;serif"/>
                <w:sz w:val="20"/>
              </w:rPr>
              <w:t xml:space="preserve"> June 30, 2026</w:t>
            </w:r>
            <w:r>
              <w:rPr>
                <w:rFonts w:ascii="Times New Roman;Times;serif" w:hAnsi="Times New Roman;Times;serif"/>
                <w:sz w:val="20"/>
              </w:rPr>
              <w:t>, there were 768,595 outstanding shares of treasury stock.</w:t>
            </w:r>
          </w:p>
        </w:tc>
      </w:tr>
    </w:tbl>
    <w:tbl>
      <w:tblPr>
        <w:tblW w:w="10205" w:type="dxa"/>
        <w:jc w:val="left"/>
        <w:tblInd w:w="0" w:type="dxa"/>
        <w:tblLayout w:type="fixed"/>
        <w:tblCellMar>
          <w:top w:w="0" w:type="dxa"/>
          <w:left w:w="0" w:type="dxa"/>
          <w:bottom w:w="0" w:type="dxa"/>
          <w:right w:w="0" w:type="dxa"/>
        </w:tblCellMar>
      </w:tblPr>
      <w:tblGrid>
        <w:gridCol w:w="158"/>
        <w:gridCol w:w="10047"/>
      </w:tblGrid>
      <w:tr>
        <w:trPr/>
        <w:tc>
          <w:tcPr>
            <w:tcW w:w="158" w:type="dxa"/>
            <w:tcBorders/>
            <w:vAlign w:val="center"/>
          </w:tcPr>
          <w:p>
            <w:pPr>
              <w:pStyle w:val="TableContents"/>
              <w:bidi w:val="0"/>
              <w:spacing w:before="0" w:after="0"/>
              <w:ind w:left="0" w:right="0" w:hanging="0"/>
              <w:jc w:val="left"/>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w:t>
            </w:r>
          </w:p>
        </w:tc>
        <w:tc>
          <w:tcPr>
            <w:tcW w:w="10047" w:type="dxa"/>
            <w:tcBorders/>
            <w:vAlign w:val="center"/>
          </w:tcPr>
          <w:p>
            <w:pPr>
              <w:pStyle w:val="TableContents"/>
              <w:bidi w:val="0"/>
              <w:spacing w:before="0" w:after="0"/>
              <w:ind w:left="0" w:right="0" w:hanging="0"/>
              <w:jc w:val="left"/>
              <w:rPr/>
            </w:pPr>
            <w:r>
              <w:rPr>
                <w:rFonts w:ascii="Times New Roman;Times;serif" w:hAnsi="Times New Roman;Times;serif"/>
                <w:sz w:val="20"/>
              </w:rPr>
              <w:t xml:space="preserve">Vested </w:t>
            </w:r>
            <w:r>
              <w:rPr>
                <w:rStyle w:val="Emphasis"/>
                <w:rFonts w:ascii="Times New Roman;Times;serif" w:hAnsi="Times New Roman;Times;serif"/>
                <w:sz w:val="20"/>
              </w:rPr>
              <w:t>not</w:t>
            </w:r>
            <w:r>
              <w:rPr>
                <w:rFonts w:ascii="Times New Roman;Times;serif" w:hAnsi="Times New Roman;Times;serif"/>
                <w:sz w:val="20"/>
              </w:rPr>
              <w:t xml:space="preserve"> delivered represents vested RSUs with delivery deferred to a future time.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xml:space="preserve">, there was a change in the vested </w:t>
            </w:r>
            <w:r>
              <w:rPr>
                <w:rStyle w:val="Emphasis"/>
                <w:rFonts w:ascii="Times New Roman;Times;serif" w:hAnsi="Times New Roman;Times;serif"/>
                <w:sz w:val="20"/>
              </w:rPr>
              <w:t>not</w:t>
            </w:r>
            <w:r>
              <w:rPr>
                <w:rFonts w:ascii="Times New Roman;Times;serif" w:hAnsi="Times New Roman;Times;serif"/>
                <w:sz w:val="20"/>
              </w:rPr>
              <w:t xml:space="preserve"> delivered balance due to a net 66,070 shares that were deferred due to timing of delivery of certain shares, of which </w:t>
            </w:r>
            <w:r>
              <w:rPr>
                <w:rStyle w:val="Emphasis"/>
                <w:rFonts w:ascii="Times New Roman;Times;serif" w:hAnsi="Times New Roman;Times;serif"/>
                <w:sz w:val="20"/>
              </w:rPr>
              <w:t>no</w:t>
            </w:r>
            <w:r>
              <w:rPr>
                <w:rFonts w:ascii="Times New Roman;Times;serif" w:hAnsi="Times New Roman;Times;serif"/>
                <w:sz w:val="20"/>
              </w:rPr>
              <w:t xml:space="preserve"> shares had elected deferred delivery. As of </w:t>
            </w:r>
            <w:r>
              <w:rPr>
                <w:rStyle w:val="Emphasis"/>
                <w:rFonts w:ascii="Times New Roman;Times;serif" w:hAnsi="Times New Roman;Times;serif"/>
                <w:sz w:val="20"/>
              </w:rPr>
              <w:t xml:space="preserve"> June 30, 2026</w:t>
            </w:r>
            <w:r>
              <w:rPr>
                <w:rFonts w:ascii="Times New Roman;Times;serif" w:hAnsi="Times New Roman;Times;serif"/>
                <w:sz w:val="20"/>
              </w:rPr>
              <w:t xml:space="preserve">, 362,875 outstanding RSUs were vested </w:t>
            </w:r>
            <w:r>
              <w:rPr>
                <w:rStyle w:val="Emphasis"/>
                <w:rFonts w:ascii="Times New Roman;Times;serif" w:hAnsi="Times New Roman;Times;serif"/>
                <w:sz w:val="20"/>
              </w:rPr>
              <w:t>not</w:t>
            </w:r>
            <w:r>
              <w:rPr>
                <w:rFonts w:ascii="Times New Roman;Times;serif" w:hAnsi="Times New Roman;Times;serif"/>
                <w:sz w:val="20"/>
              </w:rPr>
              <w:t xml:space="preserve"> delivered.</w:t>
            </w:r>
          </w:p>
        </w:tc>
      </w:tr>
    </w:tbl>
    <w:p>
      <w:pPr>
        <w:pStyle w:val="TextBody"/>
        <w:bidi w:val="0"/>
        <w:spacing w:before="0" w:after="0"/>
        <w:ind w:left="0" w:right="0" w:hanging="0"/>
        <w:jc w:val="center"/>
        <w:rPr/>
      </w:pPr>
      <w:r>
        <w:rPr/>
        <w:t> </w:t>
      </w:r>
    </w:p>
    <w:p>
      <w:pPr>
        <w:pStyle w:val="TextBody"/>
        <w:bidi w:val="0"/>
        <w:spacing w:before="0" w:after="0"/>
        <w:ind w:left="0" w:right="0" w:hanging="0"/>
        <w:jc w:val="both"/>
        <w:rPr/>
      </w:pPr>
      <w:r>
        <w:rPr>
          <w:rFonts w:ascii="Times New Roman;Times;serif" w:hAnsi="Times New Roman;Times;serif"/>
          <w:sz w:val="20"/>
        </w:rPr>
        <w:t xml:space="preserve">Compensation expense recognized for RSUs of $1,523 and $321 for the </w:t>
      </w:r>
      <w:r>
        <w:rPr>
          <w:rStyle w:val="Emphasis"/>
          <w:rFonts w:ascii="Times New Roman;Times;serif" w:hAnsi="Times New Roman;Times;serif"/>
          <w:sz w:val="20"/>
        </w:rPr>
        <w:t>three</w:t>
      </w:r>
      <w:r>
        <w:rPr>
          <w:rFonts w:ascii="Times New Roman;Times;serif" w:hAnsi="Times New Roman;Times;serif"/>
          <w:sz w:val="20"/>
        </w:rPr>
        <w:t xml:space="preserve"> months ended </w:t>
      </w:r>
      <w:r>
        <w:rPr>
          <w:rStyle w:val="Emphasis"/>
          <w:rFonts w:ascii="Times New Roman;Times;serif" w:hAnsi="Times New Roman;Times;serif"/>
          <w:sz w:val="20"/>
        </w:rPr>
        <w:t xml:space="preserve"> 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respectively, and $2,310 and $651 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respectively, was recorded in sales and marketing, product development and general and administrative in the consolidated statements of operations, and intangible assets, net in the consolidated balance sheets. The fair value of the RSUs and restricted stock was estimated using the closing prices of the Company's common stock on the dates of grant.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June 30, 2026</w:t>
      </w:r>
      <w:r>
        <w:rPr>
          <w:rFonts w:ascii="Times New Roman;Times;serif" w:hAnsi="Times New Roman;Times;serif"/>
          <w:sz w:val="20"/>
        </w:rPr>
        <w:t>, unrecognized share-based compensation expense associated with the granted RSUs and stock options amounted to $4,317</w:t>
      </w:r>
      <w:r>
        <w:rPr>
          <w:rFonts w:ascii="Times New Roman;Times;serif" w:hAnsi="Times New Roman;Times;serif"/>
          <w:b/>
          <w:sz w:val="20"/>
        </w:rPr>
        <w:t>,</w:t>
      </w:r>
      <w:r>
        <w:rPr>
          <w:rFonts w:ascii="Times New Roman;Times;serif" w:hAnsi="Times New Roman;Times;serif"/>
          <w:sz w:val="20"/>
        </w:rPr>
        <w:t xml:space="preserve"> which is expected to be recognized over a weighted average period of 2.3 years.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pPr>
      <w:r>
        <w:rPr>
          <w:rFonts w:ascii="Times New Roman;Times;serif" w:hAnsi="Times New Roman;Times;serif"/>
          <w:sz w:val="20"/>
        </w:rPr>
        <w:t xml:space="preserve">For the </w:t>
      </w:r>
      <w:r>
        <w:rPr>
          <w:rStyle w:val="Emphasis"/>
          <w:rFonts w:ascii="Times New Roman;Times;serif" w:hAnsi="Times New Roman;Times;serif"/>
          <w:sz w:val="20"/>
        </w:rPr>
        <w:t>three</w:t>
      </w:r>
      <w:r>
        <w:rPr>
          <w:rFonts w:ascii="Times New Roman;Times;serif" w:hAnsi="Times New Roman;Times;serif"/>
          <w:sz w:val="20"/>
        </w:rPr>
        <w:t xml:space="preserve"> and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 xml:space="preserve">June 30, 2026 </w:t>
      </w:r>
      <w:r>
        <w:rPr>
          <w:rFonts w:ascii="Times New Roman;Times;serif" w:hAnsi="Times New Roman;Times;serif"/>
          <w:sz w:val="20"/>
        </w:rPr>
        <w:t xml:space="preserve">and </w:t>
      </w:r>
      <w:r>
        <w:rPr>
          <w:rStyle w:val="Emphasis"/>
          <w:rFonts w:ascii="Times New Roman;Times;serif" w:hAnsi="Times New Roman;Times;serif"/>
          <w:sz w:val="20"/>
        </w:rPr>
        <w:t>2025</w:t>
      </w:r>
      <w:r>
        <w:rPr>
          <w:rFonts w:ascii="Times New Roman;Times;serif" w:hAnsi="Times New Roman;Times;serif"/>
          <w:sz w:val="20"/>
        </w:rPr>
        <w:t>, share-based compensation for the Company's stock options, RSUs, and common stock awards were allocated to the following accounts in the consolidated financial statements:</w:t>
      </w:r>
    </w:p>
    <w:p>
      <w:pPr>
        <w:pStyle w:val="TextBody"/>
        <w:bidi w:val="0"/>
        <w:spacing w:before="0" w:after="0"/>
        <w:ind w:left="0" w:right="0" w:hanging="0"/>
        <w:jc w:val="left"/>
        <w:rPr/>
      </w:pPr>
      <w:r>
        <w:rPr/>
        <w:t> </w:t>
      </w:r>
    </w:p>
    <w:tbl>
      <w:tblPr>
        <w:tblW w:w="7927" w:type="dxa"/>
        <w:jc w:val="left"/>
        <w:tblInd w:w="0" w:type="dxa"/>
        <w:tblLayout w:type="fixed"/>
        <w:tblCellMar>
          <w:top w:w="0" w:type="dxa"/>
          <w:left w:w="0" w:type="dxa"/>
          <w:bottom w:w="0" w:type="dxa"/>
          <w:right w:w="0" w:type="dxa"/>
        </w:tblCellMar>
      </w:tblPr>
      <w:tblGrid>
        <w:gridCol w:w="2885"/>
        <w:gridCol w:w="60"/>
        <w:gridCol w:w="263"/>
        <w:gridCol w:w="1022"/>
        <w:gridCol w:w="126"/>
        <w:gridCol w:w="126"/>
        <w:gridCol w:w="263"/>
        <w:gridCol w:w="706"/>
        <w:gridCol w:w="60"/>
        <w:gridCol w:w="60"/>
        <w:gridCol w:w="241"/>
        <w:gridCol w:w="937"/>
        <w:gridCol w:w="115"/>
        <w:gridCol w:w="115"/>
        <w:gridCol w:w="241"/>
        <w:gridCol w:w="647"/>
        <w:gridCol w:w="60"/>
      </w:tblGrid>
      <w:tr>
        <w:trPr/>
        <w:tc>
          <w:tcPr>
            <w:tcW w:w="28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0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26"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96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115" w:type="dxa"/>
            <w:tcBorders/>
            <w:shd w:fill="FFFFFF" w:val="clear"/>
            <w:vAlign w:val="center"/>
          </w:tcPr>
          <w:p>
            <w:pPr>
              <w:pStyle w:val="TableContents"/>
              <w:bidi w:val="0"/>
              <w:spacing w:before="0" w:after="0"/>
              <w:ind w:left="0" w:right="0" w:hanging="0"/>
              <w:jc w:val="left"/>
              <w:rPr/>
            </w:pPr>
            <w:r>
              <w:rPr/>
              <w:t> </w:t>
            </w:r>
          </w:p>
        </w:tc>
        <w:tc>
          <w:tcPr>
            <w:tcW w:w="115" w:type="dxa"/>
            <w:tcBorders/>
            <w:shd w:fill="FFFFFF" w:val="clear"/>
            <w:vAlign w:val="center"/>
          </w:tcPr>
          <w:p>
            <w:pPr>
              <w:pStyle w:val="TableContents"/>
              <w:bidi w:val="0"/>
              <w:spacing w:before="0" w:after="0"/>
              <w:ind w:left="0" w:right="0" w:hanging="0"/>
              <w:jc w:val="left"/>
              <w:rPr/>
            </w:pPr>
            <w:r>
              <w:rPr/>
              <w:t> </w:t>
            </w:r>
          </w:p>
        </w:tc>
        <w:tc>
          <w:tcPr>
            <w:tcW w:w="88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Sales and marketing</w:t>
            </w:r>
          </w:p>
        </w:tc>
        <w:tc>
          <w:tcPr>
            <w:tcW w:w="60"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w:t>
            </w:r>
          </w:p>
        </w:tc>
        <w:tc>
          <w:tcPr>
            <w:tcW w:w="126"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26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6"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w:t>
            </w:r>
          </w:p>
        </w:tc>
        <w:tc>
          <w:tcPr>
            <w:tcW w:w="115" w:type="dxa"/>
            <w:tcBorders/>
            <w:shd w:fill="CCEEFF" w:val="clear"/>
            <w:vAlign w:val="center"/>
          </w:tcPr>
          <w:p>
            <w:pPr>
              <w:pStyle w:val="TableContents"/>
              <w:bidi w:val="0"/>
              <w:spacing w:before="0" w:after="0"/>
              <w:ind w:left="0" w:right="0" w:hanging="0"/>
              <w:jc w:val="left"/>
              <w:rPr/>
            </w:pPr>
            <w:r>
              <w:rPr/>
              <w:t> </w:t>
            </w:r>
          </w:p>
        </w:tc>
        <w:tc>
          <w:tcPr>
            <w:tcW w:w="115" w:type="dxa"/>
            <w:tcBorders/>
            <w:shd w:fill="CCEEFF" w:val="clear"/>
            <w:vAlign w:val="center"/>
          </w:tcPr>
          <w:p>
            <w:pPr>
              <w:pStyle w:val="TableContents"/>
              <w:bidi w:val="0"/>
              <w:spacing w:before="0" w:after="0"/>
              <w:ind w:left="0" w:right="0" w:hanging="0"/>
              <w:jc w:val="left"/>
              <w:rPr/>
            </w:pPr>
            <w:r>
              <w:rPr/>
              <w:t> </w:t>
            </w:r>
          </w:p>
        </w:tc>
        <w:tc>
          <w:tcPr>
            <w:tcW w:w="241"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52</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Product development</w:t>
            </w:r>
          </w:p>
        </w:tc>
        <w:tc>
          <w:tcPr>
            <w:tcW w:w="60" w:type="dxa"/>
            <w:tcBorders/>
            <w:shd w:fill="FFFFFF" w:val="clear"/>
            <w:vAlign w:val="center"/>
          </w:tcPr>
          <w:p>
            <w:pPr>
              <w:pStyle w:val="TableContents"/>
              <w:bidi w:val="0"/>
              <w:spacing w:before="0" w:after="0"/>
              <w:ind w:left="0" w:right="0" w:hanging="0"/>
              <w:jc w:val="left"/>
              <w:rPr/>
            </w:pPr>
            <w:r>
              <w:rPr/>
              <w:t> </w:t>
            </w:r>
          </w:p>
        </w:tc>
        <w:tc>
          <w:tcPr>
            <w:tcW w:w="263" w:type="dxa"/>
            <w:tcBorders/>
            <w:shd w:fill="FFFFFF" w:val="clear"/>
            <w:vAlign w:val="center"/>
          </w:tcPr>
          <w:p>
            <w:pPr>
              <w:pStyle w:val="TableContents"/>
              <w:bidi w:val="0"/>
              <w:spacing w:before="0" w:after="0"/>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143</w:t>
            </w:r>
          </w:p>
        </w:tc>
        <w:tc>
          <w:tcPr>
            <w:tcW w:w="126"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263" w:type="dxa"/>
            <w:tcBorders/>
            <w:shd w:fill="FFFFFF" w:val="clear"/>
            <w:vAlign w:val="center"/>
          </w:tcPr>
          <w:p>
            <w:pPr>
              <w:pStyle w:val="TableContents"/>
              <w:bidi w:val="0"/>
              <w:spacing w:before="0" w:after="0"/>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295</w:t>
            </w:r>
          </w:p>
        </w:tc>
        <w:tc>
          <w:tcPr>
            <w:tcW w:w="115" w:type="dxa"/>
            <w:tcBorders/>
            <w:shd w:fill="FFFFFF" w:val="clear"/>
            <w:vAlign w:val="center"/>
          </w:tcPr>
          <w:p>
            <w:pPr>
              <w:pStyle w:val="TableContents"/>
              <w:bidi w:val="0"/>
              <w:spacing w:before="0" w:after="0"/>
              <w:ind w:left="0" w:right="0" w:hanging="0"/>
              <w:jc w:val="left"/>
              <w:rPr/>
            </w:pPr>
            <w:r>
              <w:rPr/>
              <w:t> </w:t>
            </w:r>
          </w:p>
        </w:tc>
        <w:tc>
          <w:tcPr>
            <w:tcW w:w="115"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82</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General and administrative</w:t>
            </w:r>
          </w:p>
        </w:tc>
        <w:tc>
          <w:tcPr>
            <w:tcW w:w="60" w:type="dxa"/>
            <w:tcBorders/>
            <w:shd w:fill="CCEEFF" w:val="clear"/>
            <w:vAlign w:val="center"/>
          </w:tcPr>
          <w:p>
            <w:pPr>
              <w:pStyle w:val="TableContents"/>
              <w:bidi w:val="0"/>
              <w:spacing w:before="0" w:after="0"/>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1,264</w:t>
            </w:r>
          </w:p>
        </w:tc>
        <w:tc>
          <w:tcPr>
            <w:tcW w:w="126"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1,787</w:t>
            </w:r>
          </w:p>
        </w:tc>
        <w:tc>
          <w:tcPr>
            <w:tcW w:w="115" w:type="dxa"/>
            <w:tcBorders/>
            <w:shd w:fill="CCEEFF" w:val="clear"/>
            <w:vAlign w:val="center"/>
          </w:tcPr>
          <w:p>
            <w:pPr>
              <w:pStyle w:val="TableContents"/>
              <w:bidi w:val="0"/>
              <w:spacing w:before="0" w:after="0"/>
              <w:ind w:left="0" w:right="0" w:hanging="0"/>
              <w:jc w:val="left"/>
              <w:rPr/>
            </w:pPr>
            <w:r>
              <w:rPr/>
              <w:t> </w:t>
            </w:r>
          </w:p>
        </w:tc>
        <w:tc>
          <w:tcPr>
            <w:tcW w:w="115"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263" w:type="dxa"/>
            <w:tcBorders/>
            <w:shd w:fill="FFFFFF" w:val="clear"/>
            <w:vAlign w:val="center"/>
          </w:tcPr>
          <w:p>
            <w:pPr>
              <w:pStyle w:val="TableContents"/>
              <w:bidi w:val="0"/>
              <w:spacing w:before="0" w:after="0"/>
              <w:ind w:left="0" w:right="0" w:hanging="0"/>
              <w:jc w:val="left"/>
              <w:rPr/>
            </w:pPr>
            <w:r>
              <w:rPr/>
              <w:t> </w:t>
            </w:r>
          </w:p>
        </w:tc>
        <w:tc>
          <w:tcPr>
            <w:tcW w:w="102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1,531</w:t>
            </w:r>
          </w:p>
        </w:tc>
        <w:tc>
          <w:tcPr>
            <w:tcW w:w="126"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263" w:type="dxa"/>
            <w:tcBorders/>
            <w:shd w:fill="FFFFFF" w:val="clear"/>
            <w:vAlign w:val="center"/>
          </w:tcPr>
          <w:p>
            <w:pPr>
              <w:pStyle w:val="TableContents"/>
              <w:bidi w:val="0"/>
              <w:spacing w:before="0" w:after="0"/>
              <w:ind w:left="0" w:right="0" w:hanging="0"/>
              <w:jc w:val="left"/>
              <w:rPr/>
            </w:pPr>
            <w:r>
              <w:rPr/>
              <w:t> </w:t>
            </w:r>
          </w:p>
        </w:tc>
        <w:tc>
          <w:tcPr>
            <w:tcW w:w="706"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93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2,322</w:t>
            </w:r>
          </w:p>
        </w:tc>
        <w:tc>
          <w:tcPr>
            <w:tcW w:w="115" w:type="dxa"/>
            <w:tcBorders/>
            <w:shd w:fill="FFFFFF" w:val="clear"/>
            <w:vAlign w:val="center"/>
          </w:tcPr>
          <w:p>
            <w:pPr>
              <w:pStyle w:val="TableContents"/>
              <w:bidi w:val="0"/>
              <w:spacing w:before="0" w:after="0"/>
              <w:ind w:left="0" w:right="0" w:hanging="0"/>
              <w:jc w:val="left"/>
              <w:rPr/>
            </w:pPr>
            <w:r>
              <w:rPr/>
              <w:t> </w:t>
            </w:r>
          </w:p>
        </w:tc>
        <w:tc>
          <w:tcPr>
            <w:tcW w:w="115" w:type="dxa"/>
            <w:tcBorders/>
            <w:shd w:fill="FFFFFF" w:val="clear"/>
            <w:vAlign w:val="center"/>
          </w:tcPr>
          <w:p>
            <w:pPr>
              <w:pStyle w:val="TableContents"/>
              <w:bidi w:val="0"/>
              <w:spacing w:before="0" w:after="0"/>
              <w:ind w:left="0" w:right="0" w:hanging="0"/>
              <w:jc w:val="left"/>
              <w:rPr/>
            </w:pPr>
            <w:r>
              <w:rPr/>
              <w:t> </w:t>
            </w:r>
          </w:p>
        </w:tc>
        <w:tc>
          <w:tcPr>
            <w:tcW w:w="241" w:type="dxa"/>
            <w:tcBorders/>
            <w:shd w:fill="FFFFFF" w:val="clear"/>
            <w:vAlign w:val="center"/>
          </w:tcPr>
          <w:p>
            <w:pPr>
              <w:pStyle w:val="TableContents"/>
              <w:bidi w:val="0"/>
              <w:spacing w:before="0" w:after="0"/>
              <w:ind w:left="0" w:right="0" w:hanging="0"/>
              <w:jc w:val="left"/>
              <w:rPr/>
            </w:pPr>
            <w:r>
              <w:rPr/>
              <w:t> </w:t>
            </w:r>
          </w:p>
        </w:tc>
        <w:tc>
          <w:tcPr>
            <w:tcW w:w="647"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671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Capitalized in intangible assets</w:t>
            </w:r>
          </w:p>
        </w:tc>
        <w:tc>
          <w:tcPr>
            <w:tcW w:w="60" w:type="dxa"/>
            <w:tcBorders/>
            <w:shd w:fill="CCEEFF" w:val="clear"/>
            <w:vAlign w:val="center"/>
          </w:tcPr>
          <w:p>
            <w:pPr>
              <w:pStyle w:val="TableContents"/>
              <w:bidi w:val="0"/>
              <w:spacing w:before="0" w:after="0"/>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2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w:t>
            </w:r>
          </w:p>
        </w:tc>
        <w:tc>
          <w:tcPr>
            <w:tcW w:w="126"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26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70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w:t>
            </w:r>
          </w:p>
        </w:tc>
        <w:tc>
          <w:tcPr>
            <w:tcW w:w="115" w:type="dxa"/>
            <w:tcBorders/>
            <w:shd w:fill="CCEEFF" w:val="clear"/>
            <w:vAlign w:val="center"/>
          </w:tcPr>
          <w:p>
            <w:pPr>
              <w:pStyle w:val="TableContents"/>
              <w:bidi w:val="0"/>
              <w:spacing w:before="0" w:after="0"/>
              <w:ind w:left="0" w:right="0" w:hanging="0"/>
              <w:jc w:val="left"/>
              <w:rPr/>
            </w:pPr>
            <w:r>
              <w:rPr/>
              <w:t> </w:t>
            </w:r>
          </w:p>
        </w:tc>
        <w:tc>
          <w:tcPr>
            <w:tcW w:w="115" w:type="dxa"/>
            <w:tcBorders/>
            <w:shd w:fill="CCEEFF" w:val="clear"/>
            <w:vAlign w:val="center"/>
          </w:tcPr>
          <w:p>
            <w:pPr>
              <w:pStyle w:val="TableContents"/>
              <w:bidi w:val="0"/>
              <w:spacing w:before="0" w:after="0"/>
              <w:ind w:left="0" w:right="0" w:hanging="0"/>
              <w:jc w:val="left"/>
              <w:rPr/>
            </w:pPr>
            <w:r>
              <w:rPr/>
              <w:t> </w:t>
            </w:r>
          </w:p>
        </w:tc>
        <w:tc>
          <w:tcPr>
            <w:tcW w:w="24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share-based compensation</w:t>
            </w:r>
          </w:p>
        </w:tc>
        <w:tc>
          <w:tcPr>
            <w:tcW w:w="60" w:type="dxa"/>
            <w:tcBorders/>
            <w:shd w:fill="FFFFFF" w:val="clear"/>
            <w:vAlign w:val="center"/>
          </w:tcPr>
          <w:p>
            <w:pPr>
              <w:pStyle w:val="TableContents"/>
              <w:bidi w:val="0"/>
              <w:spacing w:before="0" w:after="0"/>
              <w:ind w:left="0" w:right="0" w:hanging="0"/>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2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1,538</w:t>
            </w:r>
          </w:p>
        </w:tc>
        <w:tc>
          <w:tcPr>
            <w:tcW w:w="126"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0"/>
              <w:ind w:left="0" w:right="0" w:hanging="0"/>
              <w:jc w:val="left"/>
              <w:rPr/>
            </w:pPr>
            <w:r>
              <w:rPr/>
              <w:t> </w:t>
            </w:r>
          </w:p>
        </w:tc>
        <w:tc>
          <w:tcPr>
            <w:tcW w:w="2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0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2,340</w:t>
            </w:r>
          </w:p>
        </w:tc>
        <w:tc>
          <w:tcPr>
            <w:tcW w:w="115" w:type="dxa"/>
            <w:tcBorders/>
            <w:shd w:fill="FFFFFF" w:val="clear"/>
            <w:vAlign w:val="center"/>
          </w:tcPr>
          <w:p>
            <w:pPr>
              <w:pStyle w:val="TableContents"/>
              <w:bidi w:val="0"/>
              <w:spacing w:before="0" w:after="0"/>
              <w:ind w:left="0" w:right="0" w:hanging="0"/>
              <w:jc w:val="left"/>
              <w:rPr/>
            </w:pPr>
            <w:r>
              <w:rPr/>
              <w:t> </w:t>
            </w:r>
          </w:p>
        </w:tc>
        <w:tc>
          <w:tcPr>
            <w:tcW w:w="115" w:type="dxa"/>
            <w:tcBorders/>
            <w:shd w:fill="FFFFFF" w:val="clear"/>
            <w:vAlign w:val="center"/>
          </w:tcPr>
          <w:p>
            <w:pPr>
              <w:pStyle w:val="TableContents"/>
              <w:bidi w:val="0"/>
              <w:spacing w:before="0" w:after="0"/>
              <w:ind w:left="0" w:right="0" w:hanging="0"/>
              <w:jc w:val="left"/>
              <w:rPr/>
            </w:pPr>
            <w:r>
              <w:rPr/>
              <w:t> </w:t>
            </w:r>
          </w:p>
        </w:tc>
        <w:tc>
          <w:tcPr>
            <w:tcW w:w="24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64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688</w:t>
            </w:r>
          </w:p>
        </w:tc>
        <w:tc>
          <w:tcPr>
            <w:tcW w:w="6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June 30, 2026</w:t>
      </w:r>
      <w:r>
        <w:rPr>
          <w:rFonts w:ascii="Times New Roman;Times;serif" w:hAnsi="Times New Roman;Times;serif"/>
          <w:sz w:val="20"/>
        </w:rPr>
        <w:t> and </w:t>
      </w:r>
      <w:r>
        <w:rPr>
          <w:rStyle w:val="Emphasis"/>
          <w:rFonts w:ascii="Times New Roman;Times;serif" w:hAnsi="Times New Roman;Times;serif"/>
          <w:sz w:val="20"/>
        </w:rPr>
        <w:t xml:space="preserve"> December 31, 2025</w:t>
      </w:r>
      <w:r>
        <w:rPr>
          <w:rFonts w:ascii="Times New Roman;Times;serif" w:hAnsi="Times New Roman;Times;serif"/>
          <w:sz w:val="20"/>
        </w:rPr>
        <w:t>, the Company recorded a liability of $361 and $165, respectively, related to PSUs that are to be settled in cash.</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b/>
          <w:i/>
          <w:sz w:val="20"/>
        </w:rPr>
        <w:t>Related party RSUs</w:t>
      </w:r>
      <w:r>
        <w:rPr>
          <w:rFonts w:ascii="Times New Roman" w:hAnsi="Times New Roman"/>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entered into an Amended and Restated Consulting Agreement (the "Consulting Agreement"), effective </w:t>
      </w:r>
      <w:r>
        <w:rPr>
          <w:rStyle w:val="Emphasis"/>
          <w:rFonts w:ascii="Times New Roman" w:hAnsi="Times New Roman"/>
          <w:caps w:val="false"/>
          <w:smallCaps w:val="false"/>
          <w:sz w:val="20"/>
        </w:rPr>
        <w:t xml:space="preserve">June 16, 2026, </w:t>
      </w:r>
      <w:r>
        <w:rPr>
          <w:rFonts w:ascii="Times New Roman" w:hAnsi="Times New Roman"/>
          <w:caps w:val="false"/>
          <w:smallCaps w:val="false"/>
          <w:sz w:val="20"/>
        </w:rPr>
        <w:t xml:space="preserve">with an entity controlled by an immediate family member of the Company's Chief Strategy Officer (the "Consultant"), pursuant to which the Consultant provides operational consulting and advisory services to the Company's executive leadership team. The Consulting Agreement and  compensation structure were  approved by the Compensation Committee on </w:t>
      </w:r>
      <w:r>
        <w:rPr>
          <w:rStyle w:val="Emphasis"/>
          <w:rFonts w:ascii="Times New Roman" w:hAnsi="Times New Roman"/>
          <w:caps w:val="false"/>
          <w:smallCaps w:val="false"/>
          <w:sz w:val="20"/>
        </w:rPr>
        <w:t xml:space="preserve">June 16, 2026, </w:t>
      </w:r>
      <w:r>
        <w:rPr>
          <w:rFonts w:ascii="Times New Roman" w:hAnsi="Times New Roman"/>
          <w:caps w:val="false"/>
          <w:smallCaps w:val="false"/>
          <w:sz w:val="20"/>
        </w:rPr>
        <w:t>and renews on a quarter-to-quarter basis until terminated by either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Consulting Agreement, for each calendar quarter in which the Consultant performs the operational consulting services, the Company grants the Consultant RSUs with a grant-date fair value of $50, calculated by dividing $50 by the closing price of the Company's common stock on the last trading day of the calendar quarter. Each quarterly grant is made and vests in full upon approval by the Compensation Committee.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accounts for the RSU awards in accordance with ASC </w:t>
      </w:r>
      <w:r>
        <w:rPr>
          <w:rStyle w:val="Emphasis"/>
          <w:rFonts w:ascii="Times New Roman" w:hAnsi="Times New Roman"/>
          <w:caps w:val="false"/>
          <w:smallCaps w:val="false"/>
          <w:sz w:val="20"/>
        </w:rPr>
        <w:t>718,</w:t>
      </w:r>
      <w:r>
        <w:rPr>
          <w:rFonts w:ascii="Times New Roman" w:hAnsi="Times New Roman"/>
          <w:caps w:val="false"/>
          <w:smallCaps w:val="false"/>
          <w:sz w:val="20"/>
        </w:rPr>
        <w:t xml:space="preserve"> </w:t>
      </w:r>
      <w:r>
        <w:rPr>
          <w:rFonts w:ascii="Times New Roman" w:hAnsi="Times New Roman"/>
          <w:i/>
          <w:caps w:val="false"/>
          <w:smallCaps w:val="false"/>
          <w:sz w:val="20"/>
        </w:rPr>
        <w:t>Compensation - Stock Compensation</w:t>
      </w:r>
      <w:r>
        <w:rPr>
          <w:rFonts w:ascii="Times New Roman" w:hAnsi="Times New Roman"/>
          <w:caps w:val="false"/>
          <w:smallCaps w:val="false"/>
          <w:sz w:val="20"/>
        </w:rPr>
        <w:t>. Each quarterly grant is treated as a separate award measured at fair value and vested in full on the grant date. Because each grant is made in arrears for services already rendered during the calendar quarter ending on the grant date, the service inception date precedes the grant date and compensation cost is recognized in the requisite service period.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 w:hAnsi="Times New Roman"/>
          <w:sz w:val="20"/>
        </w:rPr>
        <w:t xml:space="preserve">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 xml:space="preserve">June 30, 2026, </w:t>
      </w:r>
      <w:r>
        <w:rPr>
          <w:rFonts w:ascii="Times New Roman" w:hAnsi="Times New Roman"/>
          <w:sz w:val="20"/>
        </w:rPr>
        <w:t xml:space="preserve">the Company recognized $50 of share-based compensation expense for services rendered during the period and granted 13,404 RSUs that vested immediately. In addition, the Consulting Agreement included a </w:t>
      </w:r>
      <w:r>
        <w:rPr>
          <w:rStyle w:val="Emphasis"/>
          <w:rFonts w:ascii="Times New Roman" w:hAnsi="Times New Roman"/>
          <w:sz w:val="20"/>
        </w:rPr>
        <w:t>one</w:t>
      </w:r>
      <w:r>
        <w:rPr>
          <w:rFonts w:ascii="Times New Roman" w:hAnsi="Times New Roman"/>
          <w:sz w:val="20"/>
        </w:rPr>
        <w:t xml:space="preserve">-time transition payment of 36,656 RSUs that were granted and vested on </w:t>
      </w:r>
      <w:r>
        <w:rPr>
          <w:rStyle w:val="Emphasis"/>
          <w:rFonts w:ascii="Times New Roman" w:hAnsi="Times New Roman"/>
          <w:sz w:val="20"/>
        </w:rPr>
        <w:t xml:space="preserve">June 16, 2026 </w:t>
      </w:r>
      <w:r>
        <w:rPr>
          <w:rFonts w:ascii="Times New Roman" w:hAnsi="Times New Roman"/>
          <w:sz w:val="20"/>
        </w:rPr>
        <w:t xml:space="preserve">for services provided for the </w:t>
      </w:r>
      <w:r>
        <w:rPr>
          <w:rStyle w:val="Emphasis"/>
          <w:rFonts w:ascii="Times New Roman" w:hAnsi="Times New Roman"/>
          <w:sz w:val="20"/>
        </w:rPr>
        <w:t>three</w:t>
      </w:r>
      <w:r>
        <w:rPr>
          <w:rFonts w:ascii="Times New Roman" w:hAnsi="Times New Roman"/>
          <w:sz w:val="20"/>
        </w:rPr>
        <w:t xml:space="preserve"> months ended </w:t>
      </w:r>
      <w:r>
        <w:rPr>
          <w:rStyle w:val="Emphasis"/>
          <w:rFonts w:ascii="Times New Roman" w:hAnsi="Times New Roman"/>
          <w:sz w:val="20"/>
        </w:rPr>
        <w:t xml:space="preserve">December 31, 2025 </w:t>
      </w:r>
      <w:r>
        <w:rPr>
          <w:rFonts w:ascii="Times New Roman" w:hAnsi="Times New Roman"/>
          <w:sz w:val="20"/>
        </w:rPr>
        <w:t xml:space="preserve">and </w:t>
      </w:r>
      <w:r>
        <w:rPr>
          <w:rStyle w:val="Emphasis"/>
          <w:rFonts w:ascii="Times New Roman" w:hAnsi="Times New Roman"/>
          <w:sz w:val="20"/>
        </w:rPr>
        <w:t xml:space="preserve">March 31, 2026. </w:t>
      </w:r>
      <w:r>
        <w:rPr>
          <w:rFonts w:ascii="Times New Roman" w:hAnsi="Times New Roman"/>
          <w:sz w:val="20"/>
        </w:rPr>
        <w:t xml:space="preserve">In connection with the </w:t>
      </w:r>
      <w:r>
        <w:rPr>
          <w:rStyle w:val="Emphasis"/>
          <w:rFonts w:ascii="Times New Roman" w:hAnsi="Times New Roman"/>
          <w:sz w:val="20"/>
        </w:rPr>
        <w:t>one</w:t>
      </w:r>
      <w:r>
        <w:rPr>
          <w:rFonts w:ascii="Times New Roman" w:hAnsi="Times New Roman"/>
          <w:sz w:val="20"/>
        </w:rPr>
        <w:t>-time payment, the Company recorded $118 of share-based compensation expense, all of which is included in general and administrative expenses in the consolidated statements of operations.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b/>
          <w:sz w:val="20"/>
        </w:rPr>
        <w:t>9.</w:t>
      </w:r>
      <w:r>
        <w:rPr>
          <w:rFonts w:ascii="Times New Roman;Times;serif" w:hAnsi="Times New Roman;Times;serif"/>
          <w:b/>
          <w:sz w:val="20"/>
        </w:rPr>
        <w:t xml:space="preserve"> Segment information</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 identifies operating segments as components of an entity for which discrete financial information is available and are regularly reviewed by the Chief Executive Officer, who is the Company’s Chief Operating Decision Maker ("CODM") and has final authority in making decisions regarding resource allocation and performance assessment. The profitability measure employed by CODM is earnings before interest, taxes, depreciation and amortization ("EBITDA"). The use of EBITDA as a financial metric provides management and investors with a clearer view of the core business performance and profitability, excluding the effects of financing and other non-operational expenses.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Company had two continuing operating segments: a) "Fluent", which reflects Owned and Operated and Commerce Media Solutions revenue, and b) "AdParlor d/b/a Trevant." The Company determined that it has one reportable segment, "Fluent," for the purposes of segment reporting. The Fluent reporting segment combines Fluent with the Call Solutions operating segment. The Call Solutions business was divested on </w:t>
      </w:r>
      <w:r>
        <w:rPr>
          <w:rStyle w:val="Emphasis"/>
          <w:rFonts w:ascii="Times New Roman" w:hAnsi="Times New Roman"/>
          <w:caps w:val="false"/>
          <w:smallCaps w:val="false"/>
          <w:sz w:val="20"/>
        </w:rPr>
        <w:t>January 31, 2026 (</w:t>
      </w:r>
      <w:r>
        <w:rPr>
          <w:rFonts w:ascii="Times New Roman" w:hAnsi="Times New Roman"/>
          <w:caps w:val="false"/>
          <w:smallCaps w:val="false"/>
          <w:sz w:val="20"/>
        </w:rPr>
        <w:t xml:space="preserve">refer to Note </w:t>
      </w:r>
      <w:r>
        <w:rPr>
          <w:rStyle w:val="Emphasis"/>
          <w:rFonts w:ascii="Times New Roman" w:hAnsi="Times New Roman"/>
          <w:caps w:val="false"/>
          <w:smallCaps w:val="false"/>
          <w:sz w:val="20"/>
        </w:rPr>
        <w:t>12,</w:t>
      </w:r>
      <w:r>
        <w:rPr>
          <w:rFonts w:ascii="Times New Roman" w:hAnsi="Times New Roman"/>
          <w:caps w:val="false"/>
          <w:smallCaps w:val="false"/>
          <w:sz w:val="20"/>
        </w:rPr>
        <w:t xml:space="preserve"> </w:t>
      </w:r>
      <w:r>
        <w:rPr>
          <w:rFonts w:ascii="Times New Roman" w:hAnsi="Times New Roman"/>
          <w:i/>
          <w:caps w:val="false"/>
          <w:smallCaps w:val="false"/>
          <w:sz w:val="20"/>
        </w:rPr>
        <w:t xml:space="preserve">Divestiture, </w:t>
      </w:r>
      <w:r>
        <w:rPr>
          <w:rFonts w:ascii="Times New Roman" w:hAnsi="Times New Roman"/>
          <w:caps w:val="false"/>
          <w:smallCaps w:val="false"/>
          <w:sz w:val="20"/>
        </w:rPr>
        <w:t xml:space="preserve">below for details); however, the divestiture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trigger a re-assessment under ASC </w:t>
      </w:r>
      <w:r>
        <w:rPr>
          <w:rStyle w:val="Emphasis"/>
          <w:rFonts w:ascii="Times New Roman" w:hAnsi="Times New Roman"/>
          <w:caps w:val="false"/>
          <w:smallCaps w:val="false"/>
          <w:sz w:val="20"/>
        </w:rPr>
        <w:t>280.</w:t>
      </w:r>
      <w:r>
        <w:rPr>
          <w:rFonts w:ascii="Times New Roman" w:hAnsi="Times New Roman"/>
          <w:caps w:val="false"/>
          <w:smallCaps w:val="false"/>
          <w:sz w:val="20"/>
        </w:rPr>
        <w:t xml:space="preserve"> This reporting unit works with advertisers to bring consumers to their products through multiple media channels and earn revenue when a consumer completes an action as agreed upon with the advertisers. The remaining activity represents the operating results of AdParlor, LLC, which mainly performs media buying, and those businesses sold or in run-off, which are included for purposes of reconciliation of the respective balances below to the consolidated financial statements and included within "Unallocated" below.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determined its segments based on revenue sources and its agreements with advertisers. In addition, certain advertisers overlap within the different operating segments and they are managed consistently with shared management.  The Company considered other qualitative factors, such as the environment operated in, and quantitative factors to determine its reportable segment.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significant expense categories and amounts align with the segment-level information that is regularly provided to and used by the CODM in evaluating performance and EBITDA profitability and were identified as a) cost of revenue b) salaries and benefits, c) professional fees, and d) IT and software.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does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allocate certain shared expenses such as interest expense and other non-recurring items. The allocation methodology is regularly assessed, evaluated and subject to future changes.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Summarized financial information concerning the Company's segments for the </w:t>
      </w:r>
      <w:r>
        <w:rPr>
          <w:rStyle w:val="Emphasis"/>
          <w:rFonts w:ascii="Times New Roman" w:hAnsi="Times New Roman"/>
          <w:caps w:val="false"/>
          <w:smallCaps w:val="false"/>
          <w:sz w:val="20"/>
        </w:rPr>
        <w:t>three</w:t>
      </w:r>
      <w:r>
        <w:rPr>
          <w:rFonts w:ascii="Times New Roman" w:hAnsi="Times New Roman"/>
          <w:caps w:val="false"/>
          <w:smallCaps w:val="false"/>
          <w:sz w:val="20"/>
        </w:rPr>
        <w:t xml:space="preserve"> and </w:t>
      </w:r>
      <w:r>
        <w:rPr>
          <w:rStyle w:val="Emphasis"/>
          <w:rFonts w:ascii="Times New Roman" w:hAnsi="Times New Roman"/>
          <w:caps w:val="false"/>
          <w:smallCaps w:val="false"/>
          <w:sz w:val="20"/>
        </w:rPr>
        <w:t>six</w:t>
      </w:r>
      <w:r>
        <w:rPr>
          <w:rFonts w:ascii="Times New Roman" w:hAnsi="Times New Roman"/>
          <w:caps w:val="false"/>
          <w:smallCaps w:val="false"/>
          <w:sz w:val="20"/>
        </w:rPr>
        <w:t xml:space="preserve"> months ended </w:t>
      </w:r>
      <w:r>
        <w:rPr>
          <w:rStyle w:val="Emphasis"/>
          <w:rFonts w:ascii="Times New Roman" w:hAnsi="Times New Roman"/>
          <w:caps w:val="false"/>
          <w:smallCaps w:val="false"/>
          <w:sz w:val="20"/>
        </w:rPr>
        <w:t xml:space="preserve">June 30, 2026 </w:t>
      </w:r>
      <w:r>
        <w:rPr>
          <w:rFonts w:ascii="Times New Roman" w:hAnsi="Times New Roman"/>
          <w:caps w:val="false"/>
          <w:smallCaps w:val="false"/>
          <w:sz w:val="20"/>
        </w:rPr>
        <w:t xml:space="preserve">and </w:t>
      </w:r>
      <w:r>
        <w:rPr>
          <w:rStyle w:val="Emphasis"/>
          <w:rFonts w:ascii="Times New Roman" w:hAnsi="Times New Roman"/>
          <w:caps w:val="false"/>
          <w:smallCaps w:val="false"/>
          <w:sz w:val="20"/>
        </w:rPr>
        <w:t>2025</w:t>
      </w:r>
      <w:r>
        <w:rPr>
          <w:rFonts w:ascii="Times New Roman" w:hAnsi="Times New Roman"/>
          <w:caps w:val="false"/>
          <w:smallCaps w:val="false"/>
          <w:sz w:val="20"/>
        </w:rPr>
        <w:t> are shown in the following tables below, noting prior period amounts have been recast to conform to the Company's current period segment presentation:</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203"/>
        <w:gridCol w:w="60"/>
        <w:gridCol w:w="187"/>
        <w:gridCol w:w="888"/>
        <w:gridCol w:w="119"/>
        <w:gridCol w:w="89"/>
        <w:gridCol w:w="187"/>
        <w:gridCol w:w="888"/>
        <w:gridCol w:w="80"/>
        <w:gridCol w:w="60"/>
        <w:gridCol w:w="187"/>
        <w:gridCol w:w="888"/>
        <w:gridCol w:w="119"/>
        <w:gridCol w:w="89"/>
        <w:gridCol w:w="187"/>
        <w:gridCol w:w="888"/>
        <w:gridCol w:w="86"/>
      </w:tblGrid>
      <w:tr>
        <w:trPr/>
        <w:tc>
          <w:tcPr>
            <w:tcW w:w="520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Three Months Ended June 30,</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20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35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20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Fluent</w:t>
            </w:r>
          </w:p>
        </w:tc>
        <w:tc>
          <w:tcPr>
            <w:tcW w:w="11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Fluent</w:t>
            </w:r>
          </w:p>
        </w:tc>
        <w:tc>
          <w:tcPr>
            <w:tcW w:w="11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0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r>
              <w:rPr>
                <w:rFonts w:ascii="Times New Roman" w:hAnsi="Times New Roman"/>
                <w:b/>
                <w:caps w:val="false"/>
                <w:smallCaps w:val="false"/>
                <w:position w:val="7"/>
                <w:sz w:val="16"/>
                <w:sz w:val="20"/>
              </w:rPr>
              <w:t>(1)</w:t>
            </w:r>
            <w:r>
              <w:rPr>
                <w:rFonts w:ascii="Times New Roman" w:hAnsi="Times New Roman"/>
                <w:b/>
                <w:caps w:val="false"/>
                <w:smallCaps w:val="false"/>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United States</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27,810</w:t>
            </w:r>
          </w:p>
        </w:tc>
        <w:tc>
          <w:tcPr>
            <w:tcW w:w="11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27,897</w:t>
            </w:r>
          </w:p>
        </w:tc>
        <w:tc>
          <w:tcPr>
            <w:tcW w:w="11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International</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19,037</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15,215</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segment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46,847</w:t>
            </w:r>
          </w:p>
        </w:tc>
        <w:tc>
          <w:tcPr>
            <w:tcW w:w="11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43,112</w:t>
            </w:r>
          </w:p>
        </w:tc>
        <w:tc>
          <w:tcPr>
            <w:tcW w:w="11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0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Reconciliation of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1,594</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48,449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44,706</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20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Costs of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 (exclusive of 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33,993</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34,301</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0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Costs and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Salaries and benefits</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9,039</w:t>
            </w:r>
          </w:p>
        </w:tc>
        <w:tc>
          <w:tcPr>
            <w:tcW w:w="11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7,343</w:t>
            </w:r>
          </w:p>
        </w:tc>
        <w:tc>
          <w:tcPr>
            <w:tcW w:w="11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1,477</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1,501</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and software</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1,284</w:t>
            </w:r>
          </w:p>
        </w:tc>
        <w:tc>
          <w:tcPr>
            <w:tcW w:w="11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1,071</w:t>
            </w:r>
          </w:p>
        </w:tc>
        <w:tc>
          <w:tcPr>
            <w:tcW w:w="119" w:type="dxa"/>
            <w:tcBorders/>
            <w:shd w:fill="FFFFFF" w:val="clear"/>
            <w:vAlign w:val="center"/>
          </w:tcPr>
          <w:p>
            <w:pPr>
              <w:pStyle w:val="TableContents"/>
              <w:bidi w:val="0"/>
              <w:spacing w:before="0" w:after="0"/>
              <w:ind w:left="0" w:right="0" w:hanging="0"/>
              <w:jc w:val="left"/>
              <w:rPr/>
            </w:pPr>
            <w:r>
              <w:rPr/>
              <w:t> </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segment items</w:t>
            </w:r>
            <w:r>
              <w:rPr>
                <w:rFonts w:ascii="Times New Roman" w:hAnsi="Times New Roman"/>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3,826</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3,830</w:t>
            </w:r>
          </w:p>
        </w:tc>
        <w:tc>
          <w:tcPr>
            <w:tcW w:w="119" w:type="dxa"/>
            <w:tcBorders/>
            <w:shd w:fill="CCEEFF" w:val="clear"/>
            <w:vAlign w:val="center"/>
          </w:tcPr>
          <w:p>
            <w:pPr>
              <w:pStyle w:val="TableContents"/>
              <w:bidi w:val="0"/>
              <w:spacing w:before="0" w:after="0"/>
              <w:ind w:left="0" w:right="0" w:hanging="0"/>
              <w:jc w:val="left"/>
              <w:rPr/>
            </w:pPr>
            <w:r>
              <w:rPr/>
              <w:t> </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EBITDA</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(2,772</w:t>
            </w:r>
          </w:p>
        </w:tc>
        <w:tc>
          <w:tcPr>
            <w:tcW w:w="11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(4,934</w:t>
            </w:r>
          </w:p>
        </w:tc>
        <w:tc>
          <w:tcPr>
            <w:tcW w:w="119"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0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0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Segment EBITDA to loss before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t> </w:t>
            </w:r>
          </w:p>
        </w:tc>
        <w:tc>
          <w:tcPr>
            <w:tcW w:w="86" w:type="dxa"/>
            <w:tcBorders/>
            <w:shd w:fill="CCEEFF" w:val="clear"/>
            <w:vAlign w:val="center"/>
          </w:tcPr>
          <w:p>
            <w:pPr>
              <w:pStyle w:val="TableContents"/>
              <w:bidi w:val="0"/>
              <w:spacing w:before="0" w:after="0"/>
              <w:ind w:left="0" w:right="0" w:hanging="0"/>
              <w:jc w:val="left"/>
              <w:rPr/>
            </w:pPr>
            <w:r>
              <w:rPr/>
              <w:t>​</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Segment EBITDA (from above)</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(2,772</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(4,934</w:t>
            </w:r>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Plus: Unallocated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1,594</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t> </w:t>
            </w:r>
          </w:p>
        </w:tc>
        <w:tc>
          <w:tcPr>
            <w:tcW w:w="86" w:type="dxa"/>
            <w:tcBorders/>
            <w:shd w:fill="FFFFFF" w:val="clear"/>
            <w:vAlign w:val="center"/>
          </w:tcPr>
          <w:p>
            <w:pPr>
              <w:pStyle w:val="TableContents"/>
              <w:bidi w:val="0"/>
              <w:spacing w:before="0" w:after="0"/>
              <w:ind w:left="0" w:right="0" w:hanging="0"/>
              <w:jc w:val="left"/>
              <w:rPr/>
            </w:pPr>
            <w:r>
              <w:rPr/>
              <w:t>​</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cost of revenue (exclusive of 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447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125</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salaries and benefits</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1,053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930</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professional fees</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82</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IT and software</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other operating items</w:t>
            </w:r>
            <w:r>
              <w:rPr>
                <w:rFonts w:ascii="Times New Roman" w:hAnsi="Times New Roman"/>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97</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2,479</w:t>
            </w:r>
          </w:p>
        </w:tc>
        <w:tc>
          <w:tcPr>
            <w:tcW w:w="86" w:type="dxa"/>
            <w:tcBorders/>
            <w:shd w:fill="FFFFFF" w:val="clear"/>
            <w:vAlign w:val="center"/>
          </w:tcPr>
          <w:p>
            <w:pPr>
              <w:pStyle w:val="TableContents"/>
              <w:bidi w:val="0"/>
              <w:spacing w:before="0" w:after="0"/>
              <w:ind w:left="0" w:right="0" w:hanging="0"/>
              <w:jc w:val="left"/>
              <w:rPr/>
            </w:pPr>
            <w:r>
              <w:rPr/>
              <w:t> </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702</w:t>
            </w:r>
          </w:p>
        </w:tc>
        <w:tc>
          <w:tcPr>
            <w:tcW w:w="86" w:type="dxa"/>
            <w:tcBorders/>
            <w:shd w:fill="CCEEFF" w:val="clear"/>
            <w:vAlign w:val="center"/>
          </w:tcPr>
          <w:p>
            <w:pPr>
              <w:pStyle w:val="TableContents"/>
              <w:bidi w:val="0"/>
              <w:spacing w:before="0" w:after="0"/>
              <w:ind w:left="0" w:right="0" w:hanging="0"/>
              <w:jc w:val="left"/>
              <w:rPr/>
            </w:pPr>
            <w:r>
              <w:rPr/>
              <w:t> </w:t>
            </w:r>
          </w:p>
        </w:tc>
      </w:tr>
      <w:tr>
        <w:trPr/>
        <w:tc>
          <w:tcPr>
            <w:tcW w:w="520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of Convertible Notes, with related parties</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584</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87" w:type="dxa"/>
            <w:tcBorders/>
            <w:shd w:fill="FFFFFF" w:val="clear"/>
            <w:vAlign w:val="center"/>
          </w:tcPr>
          <w:p>
            <w:pPr>
              <w:pStyle w:val="TableContents"/>
              <w:bidi w:val="0"/>
              <w:spacing w:before="0" w:after="0"/>
              <w:ind w:left="0" w:right="0" w:hanging="0"/>
              <w:jc w:val="left"/>
              <w:rPr/>
            </w:pPr>
            <w:r>
              <w:rPr/>
              <w:t> </w:t>
            </w:r>
          </w:p>
        </w:tc>
        <w:tc>
          <w:tcPr>
            <w:tcW w:w="888" w:type="dxa"/>
            <w:tcBorders/>
            <w:shd w:fill="FFFFFF" w:val="clear"/>
            <w:vAlign w:val="center"/>
          </w:tcPr>
          <w:p>
            <w:pPr>
              <w:pStyle w:val="TableContents"/>
              <w:bidi w:val="0"/>
              <w:spacing w:before="0" w:after="0"/>
              <w:ind w:left="0" w:right="0" w:hanging="0"/>
              <w:jc w:val="left"/>
              <w:rPr/>
            </w:pPr>
            <w:r>
              <w:rPr>
                <w:rStyle w:val="Emphasis"/>
              </w:rPr>
              <w:t> </w:t>
            </w:r>
          </w:p>
        </w:tc>
        <w:tc>
          <w:tcPr>
            <w:tcW w:w="119" w:type="dxa"/>
            <w:tcBorders/>
            <w:shd w:fill="FFFFFF" w:val="clear"/>
            <w:vAlign w:val="center"/>
          </w:tcPr>
          <w:p>
            <w:pPr>
              <w:pStyle w:val="TableContents"/>
              <w:bidi w:val="0"/>
              <w:spacing w:before="0" w:after="0"/>
              <w:ind w:left="0" w:right="0" w:hanging="0"/>
              <w:jc w:val="left"/>
              <w:rPr/>
            </w:pPr>
            <w:r>
              <w:rPr/>
              <w:t>​</w:t>
            </w:r>
          </w:p>
        </w:tc>
        <w:tc>
          <w:tcPr>
            <w:tcW w:w="89" w:type="dxa"/>
            <w:tcBorders/>
            <w:shd w:fill="FFFFFF" w:val="clear"/>
            <w:vAlign w:val="center"/>
          </w:tcPr>
          <w:p>
            <w:pPr>
              <w:pStyle w:val="TableContents"/>
              <w:bidi w:val="0"/>
              <w:spacing w:before="0" w:after="0"/>
              <w:ind w:left="0" w:right="0" w:hanging="0"/>
              <w:jc w:val="left"/>
              <w:rPr/>
            </w:pPr>
            <w:r>
              <w:rPr/>
              <w:t> </w:t>
            </w:r>
          </w:p>
        </w:tc>
        <w:tc>
          <w:tcPr>
            <w:tcW w:w="18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(478</w:t>
            </w:r>
          </w:p>
        </w:tc>
        <w:tc>
          <w:tcPr>
            <w:tcW w:w="86"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20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(6,172</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888" w:type="dxa"/>
            <w:tcBorders/>
            <w:shd w:fill="CCEEFF" w:val="clear"/>
            <w:vAlign w:val="center"/>
          </w:tcPr>
          <w:p>
            <w:pPr>
              <w:pStyle w:val="TableContents"/>
              <w:bidi w:val="0"/>
              <w:spacing w:before="0" w:after="0"/>
              <w:ind w:left="0" w:right="0" w:hanging="0"/>
              <w:jc w:val="left"/>
              <w:rPr/>
            </w:pPr>
            <w:r>
              <w:rPr>
                <w:rStyle w:val="Emphasis"/>
              </w:rPr>
              <w:t> </w:t>
            </w:r>
          </w:p>
        </w:tc>
        <w:tc>
          <w:tcPr>
            <w:tcW w:w="119" w:type="dxa"/>
            <w:tcBorders/>
            <w:shd w:fill="CCEEFF" w:val="clear"/>
            <w:vAlign w:val="center"/>
          </w:tcPr>
          <w:p>
            <w:pPr>
              <w:pStyle w:val="TableContents"/>
              <w:bidi w:val="0"/>
              <w:spacing w:before="0" w:after="0"/>
              <w:ind w:left="0" w:right="0" w:hanging="0"/>
              <w:jc w:val="left"/>
              <w:rPr/>
            </w:pPr>
            <w:r>
              <w:rPr/>
              <w:t>​</w:t>
            </w:r>
          </w:p>
        </w:tc>
        <w:tc>
          <w:tcPr>
            <w:tcW w:w="89" w:type="dxa"/>
            <w:tcBorders/>
            <w:shd w:fill="CCEEFF" w:val="clear"/>
            <w:vAlign w:val="center"/>
          </w:tcPr>
          <w:p>
            <w:pPr>
              <w:pStyle w:val="TableContents"/>
              <w:bidi w:val="0"/>
              <w:spacing w:before="0" w:after="0"/>
              <w:ind w:left="0" w:right="0" w:hanging="0"/>
              <w:jc w:val="left"/>
              <w:rPr/>
            </w:pPr>
            <w:r>
              <w:rPr/>
              <w:t> </w:t>
            </w:r>
          </w:p>
        </w:tc>
        <w:tc>
          <w:tcPr>
            <w:tcW w:w="187"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88"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(7,330</w:t>
            </w:r>
          </w:p>
        </w:tc>
        <w:tc>
          <w:tcPr>
            <w:tcW w:w="86"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283"/>
        <w:jc w:val="left"/>
        <w:rPr/>
      </w:pPr>
      <w:r>
        <w:rPr/>
        <w:t> </w:t>
      </w:r>
    </w:p>
    <w:p>
      <w:pPr>
        <w:pStyle w:val="TextBody"/>
        <w:bidi w:val="0"/>
        <w:spacing w:lineRule="auto" w:line="288"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Revenue aggregation is based upon location of the customer.</w:t>
      </w:r>
    </w:p>
    <w:p>
      <w:pPr>
        <w:pStyle w:val="TextBody"/>
        <w:bidi w:val="0"/>
        <w:spacing w:lineRule="auto" w:line="288"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Balance includes sales and marketing expense, travel and entertainment expense, office overhead, restructuring and severance, impairment of intangible assets, and other operating costs.</w:t>
      </w:r>
    </w:p>
    <w:p>
      <w:pPr>
        <w:pStyle w:val="TextBody"/>
        <w:bidi w:val="0"/>
        <w:spacing w:before="0" w:after="283"/>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29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10205" w:type="dxa"/>
        <w:jc w:val="left"/>
        <w:tblInd w:w="0" w:type="dxa"/>
        <w:tblLayout w:type="fixed"/>
        <w:tblCellMar>
          <w:top w:w="0" w:type="dxa"/>
          <w:left w:w="0" w:type="dxa"/>
          <w:bottom w:w="0" w:type="dxa"/>
          <w:right w:w="0" w:type="dxa"/>
        </w:tblCellMar>
      </w:tblPr>
      <w:tblGrid>
        <w:gridCol w:w="5463"/>
        <w:gridCol w:w="60"/>
        <w:gridCol w:w="170"/>
        <w:gridCol w:w="807"/>
        <w:gridCol w:w="108"/>
        <w:gridCol w:w="81"/>
        <w:gridCol w:w="170"/>
        <w:gridCol w:w="890"/>
        <w:gridCol w:w="80"/>
        <w:gridCol w:w="60"/>
        <w:gridCol w:w="170"/>
        <w:gridCol w:w="807"/>
        <w:gridCol w:w="108"/>
        <w:gridCol w:w="81"/>
        <w:gridCol w:w="170"/>
        <w:gridCol w:w="890"/>
        <w:gridCol w:w="90"/>
      </w:tblGrid>
      <w:tr>
        <w:trPr/>
        <w:tc>
          <w:tcPr>
            <w:tcW w:w="546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Six Months Ended June 30,</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46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2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46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Fluent</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7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Fluent</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0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Total</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Revenue</w:t>
            </w:r>
            <w:r>
              <w:rPr>
                <w:rFonts w:ascii="Times New Roman" w:hAnsi="Times New Roman"/>
                <w:b/>
                <w:caps w:val="false"/>
                <w:smallCaps w:val="false"/>
                <w:position w:val="7"/>
                <w:sz w:val="16"/>
                <w:sz w:val="20"/>
              </w:rPr>
              <w:t>(1)</w:t>
            </w:r>
            <w:r>
              <w:rPr>
                <w:rFonts w:ascii="Times New Roman" w:hAnsi="Times New Roman"/>
                <w:b/>
                <w:caps w:val="false"/>
                <w:smallCaps w:val="false"/>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United States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53,694</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63,802</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rStyle w:val="Emphasis"/>
              </w:rPr>
              <w:t> </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International</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35,978</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rStyle w:val="Emphasis"/>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33,131</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rStyle w:val="Emphasis"/>
              </w:rPr>
              <w:t> </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segment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89,672</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96,933</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rStyle w:val="Emphasis"/>
              </w:rPr>
              <w:t> </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Reconciliation of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2,983</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Total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93,301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0"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99,916</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46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Costs of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Cost of revenue (exclusive of 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68,457</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rStyle w:val="Emphasis"/>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78,033</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rStyle w:val="Emphasis"/>
              </w:rPr>
              <w:t> </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546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Costs and expenses: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Salaries and benefits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16,605</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15,032</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rStyle w:val="Emphasis"/>
              </w:rPr>
              <w:t> </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Professional fees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3,022</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rStyle w:val="Emphasis"/>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3,660</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rStyle w:val="Emphasis"/>
              </w:rPr>
              <w:t> </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and software</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2,340</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2,257</w:t>
            </w:r>
          </w:p>
        </w:tc>
        <w:tc>
          <w:tcPr>
            <w:tcW w:w="108" w:type="dxa"/>
            <w:tcBorders/>
            <w:shd w:fill="FFFFFF" w:val="clear"/>
            <w:vAlign w:val="center"/>
          </w:tcPr>
          <w:p>
            <w:pPr>
              <w:pStyle w:val="TableContents"/>
              <w:bidi w:val="0"/>
              <w:spacing w:before="0" w:after="0"/>
              <w:ind w:left="0" w:right="0" w:hanging="0"/>
              <w:jc w:val="left"/>
              <w:rPr/>
            </w:pPr>
            <w:r>
              <w:rPr/>
              <w:t> </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rStyle w:val="Emphasis"/>
              </w:rPr>
              <w:t> </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Other segment items</w:t>
            </w:r>
            <w:r>
              <w:rPr>
                <w:rFonts w:ascii="Times New Roman" w:hAnsi="Times New Roman"/>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4,277</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rStyle w:val="Emphasis"/>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07"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7,163</w:t>
            </w:r>
          </w:p>
        </w:tc>
        <w:tc>
          <w:tcPr>
            <w:tcW w:w="108" w:type="dxa"/>
            <w:tcBorders/>
            <w:shd w:fill="CCEEFF" w:val="clear"/>
            <w:vAlign w:val="center"/>
          </w:tcPr>
          <w:p>
            <w:pPr>
              <w:pStyle w:val="TableContents"/>
              <w:bidi w:val="0"/>
              <w:spacing w:before="0" w:after="0"/>
              <w:ind w:left="0" w:right="0" w:hanging="0"/>
              <w:jc w:val="left"/>
              <w:rPr/>
            </w:pPr>
            <w:r>
              <w:rPr/>
              <w:t> </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rStyle w:val="Emphasis"/>
              </w:rPr>
              <w:t> </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Segment EBITDA</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(5,029</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rStyle w:val="Emphasis"/>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(9,212</w:t>
            </w:r>
          </w:p>
        </w:tc>
        <w:tc>
          <w:tcPr>
            <w:tcW w:w="108"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rStyle w:val="Emphasis"/>
              </w:rPr>
              <w:t> </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546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Reconciliation of Segment EBITDA to loss before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Segment EBITDA (from above)</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(5,029</w:t>
            </w:r>
          </w:p>
        </w:tc>
        <w:tc>
          <w:tcPr>
            <w:tcW w:w="8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(9,212</w:t>
            </w:r>
          </w:p>
        </w:tc>
        <w:tc>
          <w:tcPr>
            <w:tcW w:w="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Plus: Unallocated revenue</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3,629</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2,983</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Less: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cost of revenue (exclusive of 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796</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168</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salaries and benefits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2,115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2,047</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professional fees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294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164</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IT and software</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 other operating items</w:t>
            </w:r>
            <w:r>
              <w:rPr>
                <w:rFonts w:ascii="Times New Roman" w:hAnsi="Times New Roman"/>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737</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489</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3,391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90"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4,940</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1,242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90" w:type="dxa"/>
            <w:tcBorders/>
            <w:shd w:fill="CCEE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1,582</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463"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of Convertible Notes, with related parties</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1,421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0" w:type="dxa"/>
            <w:tcBorders/>
            <w:shd w:fill="FFFFFF" w:val="clear"/>
            <w:vAlign w:val="center"/>
          </w:tcPr>
          <w:p>
            <w:pPr>
              <w:pStyle w:val="TableContents"/>
              <w:bidi w:val="0"/>
              <w:spacing w:before="0" w:after="0"/>
              <w:ind w:left="0" w:right="0" w:hanging="0"/>
              <w:jc w:val="left"/>
              <w:rPr/>
            </w:pPr>
            <w:r>
              <w:rPr/>
              <w:t> </w:t>
            </w:r>
          </w:p>
        </w:tc>
        <w:tc>
          <w:tcPr>
            <w:tcW w:w="807" w:type="dxa"/>
            <w:tcBorders/>
            <w:shd w:fill="FFFFFF" w:val="clear"/>
            <w:vAlign w:val="center"/>
          </w:tcPr>
          <w:p>
            <w:pPr>
              <w:pStyle w:val="TableContents"/>
              <w:bidi w:val="0"/>
              <w:spacing w:before="0" w:after="0"/>
              <w:ind w:left="0" w:right="0" w:hanging="0"/>
              <w:jc w:val="left"/>
              <w:rPr/>
            </w:pPr>
            <w:r>
              <w:rPr>
                <w:rStyle w:val="Emphasis"/>
              </w:rPr>
              <w:t> </w:t>
            </w:r>
          </w:p>
        </w:tc>
        <w:tc>
          <w:tcPr>
            <w:tcW w:w="108" w:type="dxa"/>
            <w:tcBorders/>
            <w:shd w:fill="FFFFFF" w:val="clear"/>
            <w:vAlign w:val="center"/>
          </w:tcPr>
          <w:p>
            <w:pPr>
              <w:pStyle w:val="TableContents"/>
              <w:bidi w:val="0"/>
              <w:spacing w:before="0" w:after="0"/>
              <w:ind w:left="0" w:right="0" w:hanging="0"/>
              <w:jc w:val="left"/>
              <w:rPr/>
            </w:pPr>
            <w:r>
              <w:rPr/>
              <w:t>​</w:t>
            </w:r>
          </w:p>
        </w:tc>
        <w:tc>
          <w:tcPr>
            <w:tcW w:w="81" w:type="dxa"/>
            <w:tcBorders/>
            <w:shd w:fill="FFFFFF" w:val="clear"/>
            <w:vAlign w:val="center"/>
          </w:tcPr>
          <w:p>
            <w:pPr>
              <w:pStyle w:val="TableContents"/>
              <w:bidi w:val="0"/>
              <w:spacing w:before="0" w:after="0"/>
              <w:ind w:left="0" w:right="0" w:hanging="0"/>
              <w:jc w:val="left"/>
              <w:rPr/>
            </w:pPr>
            <w:r>
              <w:rPr/>
              <w:t> </w:t>
            </w:r>
          </w:p>
        </w:tc>
        <w:tc>
          <w:tcPr>
            <w:tcW w:w="17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(398</w:t>
            </w:r>
          </w:p>
        </w:tc>
        <w:tc>
          <w:tcPr>
            <w:tcW w:w="90"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r>
        <w:trPr/>
        <w:tc>
          <w:tcPr>
            <w:tcW w:w="5463"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Loss before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(11,523</w:t>
            </w:r>
          </w:p>
        </w:tc>
        <w:tc>
          <w:tcPr>
            <w:tcW w:w="8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0" w:type="dxa"/>
            <w:tcBorders/>
            <w:shd w:fill="CCEEFF" w:val="clear"/>
            <w:vAlign w:val="center"/>
          </w:tcPr>
          <w:p>
            <w:pPr>
              <w:pStyle w:val="TableContents"/>
              <w:bidi w:val="0"/>
              <w:spacing w:before="0" w:after="0"/>
              <w:ind w:left="0" w:right="0" w:hanging="0"/>
              <w:jc w:val="left"/>
              <w:rPr/>
            </w:pPr>
            <w:r>
              <w:rPr/>
              <w:t> </w:t>
            </w:r>
          </w:p>
        </w:tc>
        <w:tc>
          <w:tcPr>
            <w:tcW w:w="807" w:type="dxa"/>
            <w:tcBorders/>
            <w:shd w:fill="CCEEFF" w:val="clear"/>
            <w:vAlign w:val="center"/>
          </w:tcPr>
          <w:p>
            <w:pPr>
              <w:pStyle w:val="TableContents"/>
              <w:bidi w:val="0"/>
              <w:spacing w:before="0" w:after="0"/>
              <w:ind w:left="0" w:right="0" w:hanging="0"/>
              <w:jc w:val="left"/>
              <w:rPr/>
            </w:pPr>
            <w:r>
              <w:rPr>
                <w:rStyle w:val="Emphasis"/>
              </w:rPr>
              <w:t> </w:t>
            </w:r>
          </w:p>
        </w:tc>
        <w:tc>
          <w:tcPr>
            <w:tcW w:w="108" w:type="dxa"/>
            <w:tcBorders/>
            <w:shd w:fill="CCEEFF" w:val="clear"/>
            <w:vAlign w:val="center"/>
          </w:tcPr>
          <w:p>
            <w:pPr>
              <w:pStyle w:val="TableContents"/>
              <w:bidi w:val="0"/>
              <w:spacing w:before="0" w:after="0"/>
              <w:ind w:left="0" w:right="0" w:hanging="0"/>
              <w:jc w:val="left"/>
              <w:rPr/>
            </w:pPr>
            <w:r>
              <w:rPr/>
              <w:t>​</w:t>
            </w:r>
          </w:p>
        </w:tc>
        <w:tc>
          <w:tcPr>
            <w:tcW w:w="81" w:type="dxa"/>
            <w:tcBorders/>
            <w:shd w:fill="CCEEFF" w:val="clear"/>
            <w:vAlign w:val="center"/>
          </w:tcPr>
          <w:p>
            <w:pPr>
              <w:pStyle w:val="TableContents"/>
              <w:bidi w:val="0"/>
              <w:spacing w:before="0" w:after="0"/>
              <w:ind w:left="0" w:right="0" w:hanging="0"/>
              <w:jc w:val="left"/>
              <w:rPr/>
            </w:pPr>
            <w:r>
              <w:rPr/>
              <w:t> </w:t>
            </w:r>
          </w:p>
        </w:tc>
        <w:tc>
          <w:tcPr>
            <w:tcW w:w="17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(15,366</w:t>
            </w:r>
          </w:p>
        </w:tc>
        <w:tc>
          <w:tcPr>
            <w:tcW w:w="90"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r>
    </w:tbl>
    <w:p>
      <w:pPr>
        <w:pStyle w:val="TextBody"/>
        <w:bidi w:val="0"/>
        <w:spacing w:before="0" w:after="283"/>
        <w:jc w:val="left"/>
        <w:rPr/>
      </w:pPr>
      <w:r>
        <w:rPr/>
        <w:t> </w:t>
      </w:r>
    </w:p>
    <w:p>
      <w:pPr>
        <w:pStyle w:val="TextBody"/>
        <w:bidi w:val="0"/>
        <w:spacing w:lineRule="auto" w:line="288"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1</w:t>
      </w:r>
      <w:r>
        <w:rPr>
          <w:rFonts w:ascii="Times New Roman;Times;serif" w:hAnsi="Times New Roman;Times;serif"/>
          <w:sz w:val="20"/>
        </w:rPr>
        <w:t>) Revenue aggregation is based upon location of the customer.</w:t>
      </w:r>
    </w:p>
    <w:p>
      <w:pPr>
        <w:pStyle w:val="TextBody"/>
        <w:bidi w:val="0"/>
        <w:spacing w:lineRule="auto" w:line="288" w:before="0" w:after="0"/>
        <w:ind w:left="0" w:right="0" w:hanging="0"/>
        <w:jc w:val="both"/>
        <w:rPr/>
      </w:pPr>
      <w:r>
        <w:rPr>
          <w:rFonts w:ascii="Times New Roman;Times;serif" w:hAnsi="Times New Roman;Times;serif"/>
          <w:sz w:val="20"/>
        </w:rPr>
        <w:t>(</w:t>
      </w:r>
      <w:r>
        <w:rPr>
          <w:rStyle w:val="Emphasis"/>
          <w:rFonts w:ascii="Times New Roman;Times;serif" w:hAnsi="Times New Roman;Times;serif"/>
          <w:sz w:val="20"/>
        </w:rPr>
        <w:t>2</w:t>
      </w:r>
      <w:r>
        <w:rPr>
          <w:rFonts w:ascii="Times New Roman;Times;serif" w:hAnsi="Times New Roman;Times;serif"/>
          <w:sz w:val="20"/>
        </w:rPr>
        <w:t>) Balance includes sales and marketing expense, travel and entertainment expense, office overhead, restructuring and severance, impairment of intangible assets, and other operating costs.</w:t>
      </w:r>
    </w:p>
    <w:p>
      <w:pPr>
        <w:pStyle w:val="TextBody"/>
        <w:bidi w:val="0"/>
        <w:spacing w:before="0" w:after="283"/>
        <w:jc w:val="left"/>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jc w:val="left"/>
        <w:rPr/>
      </w:pPr>
      <w:r>
        <w:rPr/>
        <w:t xml:space="preserve">  </w:t>
      </w:r>
    </w:p>
    <w:tbl>
      <w:tblPr>
        <w:tblW w:w="3178" w:type="dxa"/>
        <w:jc w:val="left"/>
        <w:tblInd w:w="0" w:type="dxa"/>
        <w:tblLayout w:type="fixed"/>
        <w:tblCellMar>
          <w:top w:w="0" w:type="dxa"/>
          <w:left w:w="0" w:type="dxa"/>
          <w:bottom w:w="0" w:type="dxa"/>
          <w:right w:w="0" w:type="dxa"/>
        </w:tblCellMar>
      </w:tblPr>
      <w:tblGrid>
        <w:gridCol w:w="1070"/>
        <w:gridCol w:w="60"/>
        <w:gridCol w:w="126"/>
        <w:gridCol w:w="598"/>
        <w:gridCol w:w="60"/>
        <w:gridCol w:w="60"/>
        <w:gridCol w:w="199"/>
        <w:gridCol w:w="945"/>
        <w:gridCol w:w="60"/>
      </w:tblGrid>
      <w:tr>
        <w:trPr/>
        <w:tc>
          <w:tcPr>
            <w:tcW w:w="10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June 30,</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December 31,</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0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2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14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Times New Roman" w:hAnsi="Times New Roman"/>
                <w:b/>
                <w:caps w:val="false"/>
                <w:smallCaps w:val="false"/>
                <w:sz w:val="20"/>
              </w:rPr>
              <w:t>2025</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Total assets:</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shd w:fill="CCEEFF" w:val="clear"/>
            <w:vAlign w:val="center"/>
          </w:tcPr>
          <w:p>
            <w:pPr>
              <w:pStyle w:val="TableContents"/>
              <w:bidi w:val="0"/>
              <w:spacing w:before="0" w:after="0"/>
              <w:ind w:left="0" w:right="0" w:hanging="0"/>
              <w:jc w:val="left"/>
              <w:rPr/>
            </w:pPr>
            <w:r>
              <w:rPr/>
              <w:t> </w:t>
            </w:r>
          </w:p>
        </w:tc>
        <w:tc>
          <w:tcPr>
            <w:tcW w:w="598"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shd w:fill="CCEEFF" w:val="clear"/>
            <w:vAlign w:val="center"/>
          </w:tcPr>
          <w:p>
            <w:pPr>
              <w:pStyle w:val="TableContents"/>
              <w:bidi w:val="0"/>
              <w:spacing w:before="0" w:after="0"/>
              <w:ind w:left="0" w:right="0" w:hanging="0"/>
              <w:jc w:val="left"/>
              <w:rPr/>
            </w:pPr>
            <w:r>
              <w:rPr/>
              <w:t> </w:t>
            </w:r>
          </w:p>
        </w:tc>
        <w:tc>
          <w:tcPr>
            <w:tcW w:w="94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w:t>
            </w:r>
          </w:p>
        </w:tc>
      </w:tr>
      <w:tr>
        <w:trPr/>
        <w:tc>
          <w:tcPr>
            <w:tcW w:w="1070"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Fluent</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65,626</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shd w:fill="FFFFFF" w:val="cle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79,570</w:t>
            </w:r>
          </w:p>
        </w:tc>
        <w:tc>
          <w:tcPr>
            <w:tcW w:w="60" w:type="dxa"/>
            <w:tcBorders/>
            <w:shd w:fill="FFFFFF" w:val="clear"/>
            <w:vAlign w:val="center"/>
          </w:tcPr>
          <w:p>
            <w:pPr>
              <w:pStyle w:val="TableContents"/>
              <w:bidi w:val="0"/>
              <w:spacing w:before="0" w:after="0"/>
              <w:ind w:left="0" w:right="0" w:hanging="0"/>
              <w:jc w:val="left"/>
              <w:rPr/>
            </w:pPr>
            <w:r>
              <w:rPr/>
              <w:t> </w:t>
            </w:r>
          </w:p>
        </w:tc>
      </w:tr>
      <w:tr>
        <w:trPr/>
        <w:tc>
          <w:tcPr>
            <w:tcW w:w="1070"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Unallocated</w:t>
            </w:r>
          </w:p>
        </w:tc>
        <w:tc>
          <w:tcPr>
            <w:tcW w:w="60" w:type="dxa"/>
            <w:tcBorders/>
            <w:shd w:fill="CCEEFF" w:val="clear"/>
            <w:vAlign w:val="center"/>
          </w:tcPr>
          <w:p>
            <w:pPr>
              <w:pStyle w:val="TableContents"/>
              <w:bidi w:val="0"/>
              <w:spacing w:before="0" w:after="0"/>
              <w:ind w:left="0" w:right="0" w:hanging="0"/>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98"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9,507</w:t>
            </w:r>
          </w:p>
        </w:tc>
        <w:tc>
          <w:tcPr>
            <w:tcW w:w="6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4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9,563</w:t>
            </w:r>
          </w:p>
        </w:tc>
        <w:tc>
          <w:tcPr>
            <w:tcW w:w="60" w:type="dxa"/>
            <w:tcBorders/>
            <w:shd w:fill="CCEEFF" w:val="clear"/>
            <w:vAlign w:val="center"/>
          </w:tcPr>
          <w:p>
            <w:pPr>
              <w:pStyle w:val="TableContents"/>
              <w:bidi w:val="0"/>
              <w:spacing w:before="0" w:after="0"/>
              <w:ind w:left="0" w:right="0" w:hanging="0"/>
              <w:jc w:val="left"/>
              <w:rPr/>
            </w:pPr>
            <w:r>
              <w:rPr/>
              <w:t> </w:t>
            </w:r>
          </w:p>
        </w:tc>
      </w:tr>
      <w:tr>
        <w:trPr/>
        <w:tc>
          <w:tcPr>
            <w:tcW w:w="1070"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Total assets</w:t>
            </w:r>
          </w:p>
        </w:tc>
        <w:tc>
          <w:tcPr>
            <w:tcW w:w="60" w:type="dxa"/>
            <w:tcBorders/>
            <w:shd w:fill="FFFFFF" w:val="clear"/>
            <w:vAlign w:val="center"/>
          </w:tcPr>
          <w:p>
            <w:pPr>
              <w:pStyle w:val="TableContents"/>
              <w:bidi w:val="0"/>
              <w:spacing w:before="0" w:after="0"/>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598"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75,133</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945"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89,133</w:t>
            </w:r>
          </w:p>
        </w:tc>
        <w:tc>
          <w:tcPr>
            <w:tcW w:w="60" w:type="dxa"/>
            <w:tcBorders/>
            <w:shd w:fill="FFFFFF" w:val="cle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As of </w:t>
      </w:r>
      <w:r>
        <w:rPr>
          <w:rStyle w:val="Emphasis"/>
          <w:rFonts w:ascii="Times New Roman;Times;serif" w:hAnsi="Times New Roman;Times;serif"/>
          <w:sz w:val="20"/>
        </w:rPr>
        <w:t xml:space="preserve"> June 30, 2026</w:t>
      </w:r>
      <w:r>
        <w:rPr>
          <w:rFonts w:ascii="Times New Roman;Times;serif" w:hAnsi="Times New Roman;Times;serif"/>
          <w:sz w:val="20"/>
        </w:rPr>
        <w:t>, long-lived assets are all located in the United States.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For the </w:t>
      </w:r>
      <w:r>
        <w:rPr>
          <w:rStyle w:val="Emphasis"/>
          <w:rFonts w:ascii="Times New Roman;Times;serif" w:hAnsi="Times New Roman;Times;serif"/>
          <w:sz w:val="20"/>
        </w:rPr>
        <w:t>six</w:t>
      </w:r>
      <w:r>
        <w:rPr>
          <w:rFonts w:ascii="Times New Roman;Times;serif" w:hAnsi="Times New Roman;Times;serif"/>
          <w:sz w:val="20"/>
        </w:rPr>
        <w:t xml:space="preserve"> months ended </w:t>
      </w:r>
      <w:r>
        <w:rPr>
          <w:rStyle w:val="Emphasis"/>
          <w:rFonts w:ascii="Times New Roman;Times;serif" w:hAnsi="Times New Roman;Times;serif"/>
          <w:sz w:val="20"/>
        </w:rPr>
        <w:t>June 30, 2026</w:t>
      </w:r>
      <w:r>
        <w:rPr>
          <w:rFonts w:ascii="Times New Roman;Times;serif" w:hAnsi="Times New Roman;Times;serif"/>
          <w:sz w:val="20"/>
        </w:rPr>
        <w:t>, 27.3% of the Company's consolidated revenue was earned from customers located in Israel. In addition, the Company identified </w:t>
      </w:r>
      <w:r>
        <w:rPr>
          <w:rStyle w:val="Emphasis"/>
          <w:rFonts w:ascii="Times New Roman;Times;serif" w:hAnsi="Times New Roman;Times;serif"/>
          <w:sz w:val="20"/>
        </w:rPr>
        <w:t>two</w:t>
      </w:r>
      <w:r>
        <w:rPr>
          <w:rFonts w:ascii="Times New Roman;Times;serif" w:hAnsi="Times New Roman;Times;serif"/>
          <w:sz w:val="20"/>
        </w:rPr>
        <w:t xml:space="preserve"> international customers within the Fluent segment that represented 11.2% and 10.2% of the Company’s consolidated revenue.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Style w:val="Emphasis"/>
          <w:rFonts w:ascii="Times New Roman;Times;serif" w:hAnsi="Times New Roman;Times;serif"/>
          <w:b/>
          <w:sz w:val="20"/>
        </w:rPr>
        <w:t>10.</w:t>
      </w:r>
      <w:r>
        <w:rPr>
          <w:rFonts w:ascii="Times New Roman;Times;serif" w:hAnsi="Times New Roman;Times;serif"/>
          <w:b/>
          <w:sz w:val="20"/>
        </w:rPr>
        <w:t xml:space="preserve"> Contingencies</w:t>
      </w:r>
      <w:r>
        <w:rPr>
          <w:rFonts w:ascii="Times New Roman;Times;serif" w:hAnsi="Times New Roman;Times;serif"/>
          <w:sz w:val="20"/>
        </w:rPr>
        <w:t>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Times;serif" w:hAnsi="Times New Roman;Times;serif"/>
          <w:sz w:val="20"/>
        </w:rPr>
        <w:t>In the ordinary course of business, the Company is subject to loss contingencies that cover a range of matters. An estimated loss from a loss contingency, such as a legal proceeding or claim, is accrued if it is probable that a liability has been incurred and the amount of the loss can be reasonably estimated. In determining whether a loss should be accrued, the Company evaluates, among other factors, the degree of probability and the ability to reasonably estimate the amount of any such loss. The Company does </w:t>
      </w:r>
      <w:r>
        <w:rPr>
          <w:rStyle w:val="Emphasis"/>
          <w:rFonts w:ascii="Times New Roman;Times;serif" w:hAnsi="Times New Roman;Times;serif"/>
          <w:sz w:val="20"/>
        </w:rPr>
        <w:t>not</w:t>
      </w:r>
      <w:r>
        <w:rPr>
          <w:rFonts w:ascii="Times New Roman;Times;serif" w:hAnsi="Times New Roman;Times;serif"/>
          <w:sz w:val="20"/>
        </w:rPr>
        <w:t> accrue liabilities when the likelihood that the liability has been incurred is probable but the amount cannot be reasonably estimated.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Times New Roman;Times;serif" w:hAnsi="Times New Roman;Times;serif"/>
          <w:sz w:val="20"/>
        </w:rPr>
        <w:t xml:space="preserve">As of </w:t>
      </w:r>
      <w:r>
        <w:rPr>
          <w:rStyle w:val="Emphasis"/>
          <w:rFonts w:ascii="Times New Roman;Times;serif" w:hAnsi="Times New Roman;Times;serif"/>
          <w:sz w:val="20"/>
        </w:rPr>
        <w:t xml:space="preserve">June 30, 2026, </w:t>
      </w:r>
      <w:r>
        <w:rPr>
          <w:rFonts w:ascii="Times New Roman;Times;serif" w:hAnsi="Times New Roman;Times;serif"/>
          <w:sz w:val="20"/>
        </w:rPr>
        <w:t xml:space="preserve">the Company did not accrue any amounts for loss contingencies as they were </w:t>
      </w:r>
      <w:r>
        <w:rPr>
          <w:rStyle w:val="Emphasis"/>
          <w:rFonts w:ascii="Times New Roman;Times;serif" w:hAnsi="Times New Roman;Times;serif"/>
          <w:sz w:val="20"/>
        </w:rPr>
        <w:t>not</w:t>
      </w:r>
      <w:r>
        <w:rPr>
          <w:rFonts w:ascii="Times New Roman;Times;serif" w:hAnsi="Times New Roman;Times;serif"/>
          <w:sz w:val="20"/>
        </w:rPr>
        <w:t xml:space="preserve"> probable nor reasonably estimable.</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caps w:val="false"/>
          <w:smallCaps w:val="false"/>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rStyle w:val="Emphasis"/>
          <w:rFonts w:ascii="Times New Roman;Times;serif" w:hAnsi="Times New Roman;Times;serif"/>
          <w:b/>
          <w:sz w:val="20"/>
        </w:rPr>
        <w:t>11.</w:t>
      </w:r>
      <w:r>
        <w:rPr>
          <w:rFonts w:ascii="Times New Roman;Times;serif" w:hAnsi="Times New Roman;Times;serif"/>
          <w:b/>
          <w:sz w:val="20"/>
        </w:rPr>
        <w:t xml:space="preserve"> Variable interest entity</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 VIE is an entity that either (i) has insufficient equity to permit the entity to finance its activities without additional subordinated financial support, or (ii) has equity investors who lack the characteristics of a controlling financial interest. The primary beneficiary is the party that has the power to direct activities that most significantly impact the operations of the VIE and has the obligation to absorb losses or the right to benefits from the VIE that could potentially be significant to the VIE. The Company assesses whether it is the primary beneficiary of a VIE at the inception of the arrangement and as of the reporting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TAPP</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As of </w:t>
      </w:r>
      <w:r>
        <w:rPr>
          <w:rStyle w:val="Emphasis"/>
          <w:rFonts w:ascii="Times New Roman" w:hAnsi="Times New Roman"/>
          <w:caps w:val="false"/>
          <w:smallCaps w:val="false"/>
          <w:sz w:val="20"/>
        </w:rPr>
        <w:t xml:space="preserve">January 9, 2023, </w:t>
      </w:r>
      <w:r>
        <w:rPr>
          <w:rFonts w:ascii="Times New Roman" w:hAnsi="Times New Roman"/>
          <w:caps w:val="false"/>
          <w:smallCaps w:val="false"/>
          <w:sz w:val="20"/>
        </w:rPr>
        <w:t xml:space="preserve">the Company initially determined that TAPP qualifies as a VIE because it held a variable interest and was the primary beneficiary. During the </w:t>
      </w:r>
      <w:r>
        <w:rPr>
          <w:rStyle w:val="Emphasis"/>
          <w:rFonts w:ascii="Times New Roman" w:hAnsi="Times New Roman"/>
          <w:caps w:val="false"/>
          <w:smallCaps w:val="false"/>
          <w:sz w:val="20"/>
        </w:rPr>
        <w:t>first</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TAPP’s key employee became a consultant to the Company, but as the Company concluded that it still had significant influence over TAPP, it continued to consolidate TAPP's operations. However, as the Company did </w:t>
      </w:r>
      <w:r>
        <w:rPr>
          <w:rStyle w:val="Emphasis"/>
          <w:rFonts w:ascii="Times New Roman" w:hAnsi="Times New Roman"/>
          <w:caps w:val="false"/>
          <w:smallCaps w:val="false"/>
          <w:sz w:val="20"/>
        </w:rPr>
        <w:t>not</w:t>
      </w:r>
      <w:r>
        <w:rPr>
          <w:rFonts w:ascii="Times New Roman" w:hAnsi="Times New Roman"/>
          <w:caps w:val="false"/>
          <w:smallCaps w:val="false"/>
          <w:sz w:val="20"/>
        </w:rPr>
        <w:t> have an equity interest in TAPP, </w:t>
      </w:r>
      <w:r>
        <w:rPr>
          <w:rStyle w:val="Emphasis"/>
          <w:rFonts w:ascii="Times New Roman" w:hAnsi="Times New Roman"/>
          <w:caps w:val="false"/>
          <w:smallCaps w:val="false"/>
          <w:sz w:val="20"/>
        </w:rPr>
        <w:t>100%</w:t>
      </w:r>
      <w:r>
        <w:rPr>
          <w:rFonts w:ascii="Times New Roman" w:hAnsi="Times New Roman"/>
          <w:caps w:val="false"/>
          <w:smallCaps w:val="false"/>
          <w:sz w:val="20"/>
        </w:rPr>
        <w:t xml:space="preserve"> of the net assets and results of the operations of TAPP were attributable to non-controlling interests. On </w:t>
      </w:r>
      <w:r>
        <w:rPr>
          <w:rStyle w:val="Emphasis"/>
          <w:rFonts w:ascii="Times New Roman" w:hAnsi="Times New Roman"/>
          <w:caps w:val="false"/>
          <w:smallCaps w:val="false"/>
          <w:sz w:val="20"/>
        </w:rPr>
        <w:t xml:space="preserve">May 20, 2025, </w:t>
      </w:r>
      <w:r>
        <w:rPr>
          <w:rFonts w:ascii="Times New Roman" w:hAnsi="Times New Roman"/>
          <w:caps w:val="false"/>
          <w:smallCaps w:val="false"/>
          <w:sz w:val="20"/>
        </w:rPr>
        <w:t xml:space="preserve">the Company made a </w:t>
      </w:r>
      <w:r>
        <w:rPr>
          <w:rStyle w:val="Emphasis"/>
          <w:rFonts w:ascii="Times New Roman" w:hAnsi="Times New Roman"/>
          <w:caps w:val="false"/>
          <w:smallCaps w:val="false"/>
          <w:sz w:val="20"/>
        </w:rPr>
        <w:t>one</w:t>
      </w:r>
      <w:r>
        <w:rPr>
          <w:rFonts w:ascii="Times New Roman" w:hAnsi="Times New Roman"/>
          <w:caps w:val="false"/>
          <w:smallCaps w:val="false"/>
          <w:sz w:val="20"/>
        </w:rPr>
        <w:t>-time payment of $300 and entered into an updated agreement with the key employee and TAPP, terminating all prior agreements. As a result, the Company determined that it was </w:t>
      </w:r>
      <w:r>
        <w:rPr>
          <w:rStyle w:val="Emphasis"/>
          <w:rFonts w:ascii="Times New Roman" w:hAnsi="Times New Roman"/>
          <w:caps w:val="false"/>
          <w:smallCaps w:val="false"/>
          <w:sz w:val="20"/>
        </w:rPr>
        <w:t>no</w:t>
      </w:r>
      <w:r>
        <w:rPr>
          <w:rFonts w:ascii="Times New Roman" w:hAnsi="Times New Roman"/>
          <w:caps w:val="false"/>
          <w:smallCaps w:val="false"/>
          <w:sz w:val="20"/>
        </w:rPr>
        <w:t> longer the primary beneficiary, and under ASC </w:t>
      </w:r>
      <w:r>
        <w:rPr>
          <w:rStyle w:val="Emphasis"/>
          <w:rFonts w:ascii="Times New Roman" w:hAnsi="Times New Roman"/>
          <w:caps w:val="false"/>
          <w:smallCaps w:val="false"/>
          <w:sz w:val="20"/>
        </w:rPr>
        <w:t>810</w:t>
      </w:r>
      <w:r>
        <w:rPr>
          <w:rFonts w:ascii="Times New Roman" w:hAnsi="Times New Roman"/>
          <w:i/>
          <w:caps w:val="false"/>
          <w:smallCaps w:val="false"/>
          <w:sz w:val="20"/>
        </w:rPr>
        <w:t>,</w:t>
      </w:r>
      <w:r>
        <w:rPr>
          <w:rFonts w:ascii="Times New Roman" w:hAnsi="Times New Roman"/>
          <w:caps w:val="false"/>
          <w:smallCaps w:val="false"/>
          <w:sz w:val="20"/>
        </w:rPr>
        <w:t> TAPP was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longer being consolidated under ASC </w:t>
      </w:r>
      <w:r>
        <w:rPr>
          <w:rStyle w:val="Emphasis"/>
          <w:rFonts w:ascii="Times New Roman" w:hAnsi="Times New Roman"/>
          <w:caps w:val="false"/>
          <w:smallCaps w:val="false"/>
          <w:sz w:val="20"/>
        </w:rPr>
        <w:t>810.</w:t>
      </w:r>
      <w:r>
        <w:rPr>
          <w:rFonts w:ascii="Times New Roman" w:hAnsi="Times New Roman"/>
          <w:caps w:val="false"/>
          <w:smallCaps w:val="false"/>
          <w:sz w:val="20"/>
        </w:rPr>
        <w:t xml:space="preserve"> The Company recognized a loss of $698 in general and administrative expenses in the consolidated statements of operations in the </w:t>
      </w:r>
      <w:r>
        <w:rPr>
          <w:rStyle w:val="Emphasis"/>
          <w:rFonts w:ascii="Times New Roman" w:hAnsi="Times New Roman"/>
          <w:caps w:val="false"/>
          <w:smallCaps w:val="false"/>
          <w:sz w:val="20"/>
        </w:rPr>
        <w:t>second</w:t>
      </w:r>
      <w:r>
        <w:rPr>
          <w:rFonts w:ascii="Times New Roman" w:hAnsi="Times New Roman"/>
          <w:caps w:val="false"/>
          <w:smallCaps w:val="false"/>
          <w:sz w:val="20"/>
        </w:rPr>
        <w:t xml:space="preserve"> quarter of </w:t>
      </w:r>
      <w:r>
        <w:rPr>
          <w:rStyle w:val="Emphasis"/>
          <w:rFonts w:ascii="Times New Roman" w:hAnsi="Times New Roman"/>
          <w:caps w:val="false"/>
          <w:smallCaps w:val="false"/>
          <w:sz w:val="20"/>
        </w:rPr>
        <w:t>2025,</w:t>
      </w:r>
      <w:r>
        <w:rPr>
          <w:rFonts w:ascii="Times New Roman" w:hAnsi="Times New Roman"/>
          <w:caps w:val="false"/>
          <w:smallCaps w:val="false"/>
          <w:sz w:val="20"/>
        </w:rPr>
        <w:t xml:space="preserve"> mainly related to the write-off of the intangible assets.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rStyle w:val="Emphasis"/>
          <w:rFonts w:ascii="Times New Roman" w:hAnsi="Times New Roman"/>
          <w:caps w:val="false"/>
          <w:smallCaps w:val="false"/>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NOTES TO CONSOLIDATED FINANCIAL STATEMENTS (CONTINUED)</w:t>
      </w:r>
      <w:r>
        <w:rPr>
          <w:rFonts w:ascii="Times New Roman" w:hAnsi="Times New Roman"/>
          <w:caps w:val="false"/>
          <w:smallCaps w:val="false"/>
          <w:sz w:val="20"/>
        </w:rPr>
        <w:t> </w:t>
        <w:br/>
      </w:r>
      <w:r>
        <w:rPr>
          <w:rFonts w:ascii="Times New Roman" w:hAnsi="Times New Roman"/>
          <w:b/>
          <w:caps w:val="false"/>
          <w:smallCaps w:val="false"/>
          <w:sz w:val="20"/>
        </w:rPr>
        <w:t>(Amounts in thousands, except share and per share data)</w:t>
      </w:r>
      <w:r>
        <w:rPr>
          <w:rFonts w:ascii="Times New Roman" w:hAnsi="Times New Roman"/>
          <w:caps w:val="false"/>
          <w:smallCaps w:val="false"/>
          <w:sz w:val="20"/>
        </w:rPr>
        <w:t> </w:t>
        <w:br/>
      </w:r>
      <w:r>
        <w:rPr>
          <w:rFonts w:ascii="Times New Roman" w:hAnsi="Times New Roman"/>
          <w:b/>
          <w:caps w:val="false"/>
          <w:smallCaps w:val="false"/>
          <w:sz w:val="20"/>
        </w:rPr>
        <w:t>(unaudited)</w:t>
      </w:r>
      <w:r>
        <w:rPr>
          <w:rFonts w:ascii="Times New Roman" w:hAnsi="Times New Roman"/>
          <w:caps w:val="false"/>
          <w:smallCaps w:val="false"/>
          <w:sz w:val="20"/>
        </w:rPr>
        <w:t xml:space="preserve"> </w:t>
      </w:r>
    </w:p>
    <w:p>
      <w:pPr>
        <w:pStyle w:val="TextBody"/>
        <w:bidi w:val="0"/>
        <w:spacing w:before="0" w:after="0"/>
        <w:ind w:left="0" w:right="0" w:hanging="0"/>
        <w:jc w:val="left"/>
        <w:rPr/>
      </w:pPr>
      <w:r>
        <w:rPr>
          <w:rStyle w:val="Emphasis"/>
          <w:rFonts w:ascii="Times New Roman" w:hAnsi="Times New Roman"/>
          <w:b/>
          <w:caps w:val="false"/>
          <w:smallCaps w:val="false"/>
          <w:sz w:val="20"/>
        </w:rPr>
        <w:t>12.</w:t>
      </w:r>
      <w:r>
        <w:rPr>
          <w:rFonts w:ascii="Times New Roman" w:hAnsi="Times New Roman"/>
          <w:b/>
          <w:caps w:val="false"/>
          <w:smallCaps w:val="false"/>
          <w:sz w:val="20"/>
        </w:rPr>
        <w:t xml:space="preserve"> Divestiture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Winopoly  </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On </w:t>
      </w:r>
      <w:r>
        <w:rPr>
          <w:rStyle w:val="Emphasis"/>
          <w:rFonts w:ascii="Times New Roman" w:hAnsi="Times New Roman"/>
          <w:caps w:val="false"/>
          <w:smallCaps w:val="false"/>
          <w:sz w:val="20"/>
        </w:rPr>
        <w:t xml:space="preserve">January 31, 2026, </w:t>
      </w:r>
      <w:r>
        <w:rPr>
          <w:rFonts w:ascii="Times New Roman" w:hAnsi="Times New Roman"/>
          <w:caps w:val="false"/>
          <w:smallCaps w:val="false"/>
          <w:sz w:val="20"/>
        </w:rPr>
        <w:t xml:space="preserve">Inbox Pal, LLC, an indirect subsidiary of the Company, and InsurCo, LLC (“InsurCo”) entered into a membership interest purchase agreement pursuant to which Inbox Pal, LLC conveyed 100% of the membership interests of Winopoly, LLC ("Winopoly") to InsurCo. Winopoly was a call center-supported performance marketplace that provided live-call-based performance campaigns to help clients increase engagement through the Company's Call Solutions business. The deemed fair value of the consideration received was approximately $2,800, which consisted of a $3,000 secured promissory note (the “Note”) along with forgiveness of approximately $200 owed to the Company related to the profit share obligation. The Note bears interest at 12.96% per annum and is payable in monthly installments of $100. In connection with the transaction, the Company conveyed dissimilar assets relating to the Call Solutions business, excluding net working capital. In addition, the Company terminated all remaining employees related to Winopoly prior to the transaction. InsurCo’s members are former employees of the Company.  The conveyance did </w:t>
      </w:r>
      <w:r>
        <w:rPr>
          <w:rStyle w:val="Emphasis"/>
          <w:rFonts w:ascii="Times New Roman" w:hAnsi="Times New Roman"/>
          <w:caps w:val="false"/>
          <w:smallCaps w:val="false"/>
          <w:sz w:val="20"/>
        </w:rPr>
        <w:t>not</w:t>
      </w:r>
      <w:r>
        <w:rPr>
          <w:rFonts w:ascii="Times New Roman" w:hAnsi="Times New Roman"/>
          <w:caps w:val="false"/>
          <w:smallCaps w:val="false"/>
          <w:sz w:val="20"/>
        </w:rPr>
        <w:t xml:space="preserve"> meet the criteria of a discontinued operation under ASC </w:t>
      </w:r>
      <w:r>
        <w:rPr>
          <w:rStyle w:val="Emphasis"/>
          <w:rFonts w:ascii="Times New Roman" w:hAnsi="Times New Roman"/>
          <w:caps w:val="false"/>
          <w:smallCaps w:val="false"/>
          <w:sz w:val="20"/>
        </w:rPr>
        <w:t>205</w:t>
      </w:r>
      <w:r>
        <w:rPr>
          <w:rFonts w:ascii="Times New Roman" w:hAnsi="Times New Roman"/>
          <w:caps w:val="false"/>
          <w:smallCaps w:val="false"/>
          <w:sz w:val="20"/>
        </w:rPr>
        <w:t>-</w:t>
      </w:r>
      <w:r>
        <w:rPr>
          <w:rStyle w:val="Emphasis"/>
          <w:rFonts w:ascii="Times New Roman" w:hAnsi="Times New Roman"/>
          <w:caps w:val="false"/>
          <w:smallCaps w:val="false"/>
          <w:sz w:val="20"/>
        </w:rPr>
        <w:t>20.</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determined that the conveyance of Winopoly was a business under ASC </w:t>
      </w:r>
      <w:r>
        <w:rPr>
          <w:rStyle w:val="Emphasis"/>
          <w:rFonts w:ascii="Times New Roman" w:hAnsi="Times New Roman"/>
          <w:caps w:val="false"/>
          <w:smallCaps w:val="false"/>
          <w:sz w:val="20"/>
        </w:rPr>
        <w:t>805,</w:t>
      </w:r>
      <w:r>
        <w:rPr>
          <w:rFonts w:ascii="Times New Roman" w:hAnsi="Times New Roman"/>
          <w:caps w:val="false"/>
          <w:smallCaps w:val="false"/>
          <w:sz w:val="20"/>
        </w:rPr>
        <w:t>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As a result, in accordance with ASC </w:t>
      </w:r>
      <w:r>
        <w:rPr>
          <w:rStyle w:val="Emphasis"/>
          <w:rFonts w:ascii="Times New Roman" w:hAnsi="Times New Roman"/>
          <w:caps w:val="false"/>
          <w:smallCaps w:val="false"/>
          <w:sz w:val="20"/>
        </w:rPr>
        <w:t>810,</w:t>
      </w:r>
      <w:r>
        <w:rPr>
          <w:rFonts w:ascii="Times New Roman" w:hAnsi="Times New Roman"/>
          <w:caps w:val="false"/>
          <w:smallCaps w:val="false"/>
          <w:sz w:val="20"/>
        </w:rPr>
        <w:t> </w:t>
      </w:r>
      <w:r>
        <w:rPr>
          <w:rFonts w:ascii="Times New Roman" w:hAnsi="Times New Roman"/>
          <w:i/>
          <w:caps w:val="false"/>
          <w:smallCaps w:val="false"/>
          <w:sz w:val="20"/>
        </w:rPr>
        <w:t>Consolidation</w:t>
      </w:r>
      <w:r>
        <w:rPr>
          <w:rFonts w:ascii="Times New Roman" w:hAnsi="Times New Roman"/>
          <w:caps w:val="false"/>
          <w:smallCaps w:val="false"/>
          <w:sz w:val="20"/>
        </w:rPr>
        <w:t>, the Company recognized a gain of $2,352 on the conveyance of Winopoly, which is reflected in general and administrative expenses. Going forward, the Company’s continuing relationship with InsurCo will be limited to the payment of the Note. As of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the Note has a principal balance of $999, reflected in prepaids and other current assets, and $1,719, reflected in other non-current assets (refer to </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(e) </w:t>
      </w:r>
      <w:r>
        <w:rPr>
          <w:rFonts w:ascii="Times New Roman" w:hAnsi="Times New Roman"/>
          <w:i/>
          <w:caps w:val="false"/>
          <w:smallCaps w:val="false"/>
          <w:sz w:val="20"/>
        </w:rPr>
        <w:t xml:space="preserve">Note receivable and allowance for credit losses </w:t>
      </w:r>
      <w:r>
        <w:rPr>
          <w:rFonts w:ascii="Times New Roman" w:hAnsi="Times New Roman"/>
          <w:caps w:val="false"/>
          <w:smallCaps w:val="false"/>
          <w:sz w:val="20"/>
        </w:rPr>
        <w:t>for additional details).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pPr>
      <w:r>
        <w:rPr>
          <w:rStyle w:val="Emphasis"/>
          <w:rFonts w:ascii="Times New Roman" w:hAnsi="Times New Roman"/>
          <w:b/>
          <w:caps w:val="false"/>
          <w:smallCaps w:val="false"/>
          <w:sz w:val="20"/>
        </w:rPr>
        <w:t>13.</w:t>
      </w:r>
      <w:r>
        <w:rPr>
          <w:rFonts w:ascii="Times New Roman" w:hAnsi="Times New Roman"/>
          <w:b/>
          <w:caps w:val="false"/>
          <w:smallCaps w:val="false"/>
          <w:sz w:val="20"/>
        </w:rPr>
        <w:t xml:space="preserve"> Subsequent events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pPr>
      <w:r>
        <w:rPr>
          <w:rFonts w:ascii="Times New Roman" w:hAnsi="Times New Roman"/>
          <w:caps w:val="false"/>
          <w:smallCaps w:val="false"/>
          <w:sz w:val="20"/>
        </w:rPr>
        <w:t xml:space="preserve">The Company has evaluated subsequent events through </w:t>
      </w:r>
      <w:r>
        <w:rPr>
          <w:rStyle w:val="Emphasis"/>
          <w:rFonts w:ascii="Times New Roman" w:hAnsi="Times New Roman"/>
          <w:caps w:val="false"/>
          <w:smallCaps w:val="false"/>
          <w:sz w:val="20"/>
        </w:rPr>
        <w:t xml:space="preserve">August 13, 2026, </w:t>
      </w:r>
      <w:r>
        <w:rPr>
          <w:rFonts w:ascii="Times New Roman" w:hAnsi="Times New Roman"/>
          <w:caps w:val="false"/>
          <w:smallCaps w:val="false"/>
          <w:sz w:val="20"/>
        </w:rPr>
        <w:t xml:space="preserve">and has determined that there are </w:t>
      </w:r>
      <w:r>
        <w:rPr>
          <w:rStyle w:val="Emphasis"/>
          <w:rFonts w:ascii="Times New Roman" w:hAnsi="Times New Roman"/>
          <w:caps w:val="false"/>
          <w:smallCaps w:val="false"/>
          <w:sz w:val="20"/>
        </w:rPr>
        <w:t>no</w:t>
      </w:r>
      <w:r>
        <w:rPr>
          <w:rFonts w:ascii="Times New Roman" w:hAnsi="Times New Roman"/>
          <w:caps w:val="false"/>
          <w:smallCaps w:val="false"/>
          <w:sz w:val="20"/>
        </w:rPr>
        <w:t xml:space="preserve"> material subsequent events to disclose in the consolidated financial statements.</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10" w:name="item2"/>
      <w:bookmarkEnd w:id="10"/>
      <w:r>
        <w:rPr>
          <w:rFonts w:ascii="Times New Roman;Times;serif" w:hAnsi="Times New Roman;Times;serif"/>
          <w:b/>
          <w:sz w:val="20"/>
        </w:rPr>
        <w:t>Item 2. Management's Discussion and Analysis of Financial Condition and Results of Operations.</w:t>
      </w:r>
      <w:r>
        <w:rPr>
          <w:rFonts w:ascii="Times New Roman;Times;serif" w:hAnsi="Times New Roman;Times;serif"/>
          <w:sz w:val="20"/>
        </w:rPr>
        <w:t xml:space="preserve"> </w:t>
      </w:r>
    </w:p>
    <w:p>
      <w:pPr>
        <w:pStyle w:val="TextBody"/>
        <w:bidi w:val="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This Quarterly Report on Form 10-Q contains certain forward-looking statements within the meaning of the Private Securities Litigation Reform Act of 1995 ("PSLRA"), Section 27A of the Securities Act of 1933, as amended (the "Securities Act"), and Section 21E of the Securities Exchange Act of 1934, as amended, (the "Exchange Act"), about our expectations, beliefs, or intentions regarding our business, financial condition, results of operations, strategies, the outcome of litigation, or prospects. Forward-looking statements are those that do not relate strictly to historical or current matters, but instead relate to anticipated or expected events, activities, trends, or results as of the date they are made. These forward-looking statements can be identified by the use of terminology such as "anticipate," "believe," "estimate," "expect," "intend," "project," "will," or the negative thereof or other variations thereon or comparable terminology. Because forward-looking statements relate to matters that have not yet occurred, these statements are inherently subject to risks and uncertainties that could cause our actual results to differ materially from any future results expressed or implied by the forward-looking statements. Many factors could cause our actual activities or results to differ materially from the activities and results anticipated in forward-looking statements</w:t>
      </w:r>
      <w:r>
        <w:rPr>
          <w:rFonts w:ascii="Times New Roman" w:hAnsi="Times New Roman"/>
          <w:i/>
          <w:sz w:val="20"/>
        </w:rPr>
        <w:t>, including, without limitation, those discussed in Part I, Item 1A of our </w:t>
      </w:r>
      <w:r>
        <w:rPr>
          <w:rFonts w:ascii="Times New Roman;Times;serif" w:hAnsi="Times New Roman;Times;serif"/>
          <w:i/>
          <w:sz w:val="20"/>
        </w:rPr>
        <w:t xml:space="preserve">Annual Report on Form 10-K for the year ended December 31, 2025 filed with the Securities and Exchange Commission (the "SEC") on March 31, 2026, as amended on April 30, 2026 (as amended the "2025 Form 10-K"), those </w:t>
      </w:r>
      <w:r>
        <w:rPr>
          <w:rFonts w:ascii="Times New Roman" w:hAnsi="Times New Roman"/>
          <w:i/>
          <w:sz w:val="20"/>
        </w:rPr>
        <w:t>contained in our Quarterly Reports on Form 10-Q (including this one), and such other factors contained in our </w:t>
      </w:r>
      <w:r>
        <w:rPr>
          <w:rFonts w:ascii="Times New Roman;Times;serif" w:hAnsi="Times New Roman;Times;serif"/>
          <w:i/>
          <w:sz w:val="20"/>
        </w:rPr>
        <w:t>other filings we make with the SEC. We do not undertake any obligation to update forward-looking statements, except as required by law and intend that all forward-looking statements be subject to the safe harbor provisions of the PSLRA.</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i/>
          <w:sz w:val="20"/>
        </w:rPr>
        <w:t>These forward-looking statements are only predictions and reflect our views as of the date they are made with respect to future events and financial performance. </w:t>
      </w:r>
      <w:r>
        <w:rPr>
          <w:rFonts w:ascii="Times New Roman" w:hAnsi="Times New Roman"/>
          <w:i/>
          <w:sz w:val="20"/>
        </w:rPr>
        <w:t>The following discussion should be read in conjunction with the 2025 Form 10-K and the consolidated financial statements and related notes included in this Quarterly Report on Form 10-Q.</w:t>
      </w:r>
      <w:r>
        <w:rPr>
          <w:rFonts w:ascii="Times New Roman;Times;serif" w:hAnsi="Times New Roman;Times;serif"/>
          <w:sz w:val="20"/>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Overview</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Fluent, Inc. ("we," "us," "our," "Fluent," or the "Company") is a commerce media solutions provider connecting top-tier brands with highly engaged consumers. Leveraging exclusive ad inventory, robust first-party data, and proprietary machine learning, we unlock additional revenue streams for partners and empower advertisers to acquire their most valuable customers at scale. We primarily perform customer acquisition services by operating highly scalable digital marketing campaigns, through which we connect our advertiser clients with targeted consumers.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access these consumers through both our commerce media marketplace ("Commerce Media Solutions"), which delivers targeted advertising within e-commerce and digital media transaction flows on partner sites and mobile apps, and our owned and operated digital media properties ("O&amp;O Sites"). Over the last 12 months, we provided data and performance-based customer acquisition services for over 350 consumer brands, direct marketers, and agencies across a wide range of industries, including Media &amp; Entertainment, Financial Products &amp; Services, Health &amp; Life Sciences, Retail &amp; Consumer, and Staffing &amp; Recruitment.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operate our Commerce Media Solutions on partner sites and mobile apps where we embed our proprietary ad-serving technology to identify and acquire consumers for our advertiser clients. Our technology is integrated at key moments in the consumer experience to capitalize on high engagement and improve conversion; for example, our post-transaction solution connects our advertisers to consumers on e-commerce websites and apps after a purchase or similar transaction. Commerce Media Solutions generates meaningful revenue for our media partners, while driving high-quality customer acquisition for our advertiser clients. We enter into exclusive agreements with our media partners with one to five year terms, typically remunerating them on a revenue share and/or impression basis.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also attract consumers at scale to our O&amp;O Sites primarily through promotional offerings, through which consumers are rewarded for completing activities on our sites. Upon registration, consumers provide their name, contact information, and opt-in consent for telemarketing and email marketing. Over 90% of these users engage with our media on their mobile devices or tablets.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Once users have registered, they are engaged through our proprietary direct marketing technologies and analytics with surveys, polls, and other experiences, through which we capture information about their lifestyles, preferences, and purchasing histories, among other attributes. Based on these insights, we serve users targeted, relevant offers on behalf of our clients. As new users register and existing registrants re-engage, our database is enriched and improves the effectiveness of our performance-based campaigns, thus expanding our addressable advertiser client base.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our inception, we have amassed a large, proprietary database of first-party, self-declared user information and preferences. We solicit our users' consent to be contacted by us and/or our advertisers via various channels including email, telephone, SMS/text, and push messaging. We leverage their self-declared data primarily in two ways: (1) to serve advertisements we believe will be relevant to users based on the information they provide on our O&amp;O Sites and our Commerce Media Solutions and (2) to provide our clients with users' contact information for direct outreach. We may also leverage our technology and database to drive non-core revenue streams, including utilization-based models (</w:t>
      </w:r>
      <w:r>
        <w:rPr>
          <w:rFonts w:ascii="Times New Roman" w:hAnsi="Times New Roman"/>
          <w:i/>
          <w:caps w:val="false"/>
          <w:smallCaps w:val="false"/>
          <w:sz w:val="20"/>
        </w:rPr>
        <w:t>e.g.</w:t>
      </w:r>
      <w:r>
        <w:rPr>
          <w:rFonts w:ascii="Times New Roman" w:hAnsi="Times New Roman"/>
          <w:caps w:val="false"/>
          <w:smallCaps w:val="false"/>
          <w:sz w:val="20"/>
        </w:rPr>
        <w:t>, programmatic advertising).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Additionally, we operated a call center-supported performance marketplace ("Call Solutions") that provided live, call-based performance campaigns to help clients increase engagement, which was divested through the sale of Winopoly, LLC on January 31, 2026. Our Call Solutions business served clients across an array of industries but had a heavy focus on the health insurance sector.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Across our business, we generate revenue by delivering measurable marketing results to our clients. We differentiate ourselves from other marketing alternatives by our ability to provide clients with a cost-effective and measurable return on advertising spend ("ROAS"), a measure of profitability of sales compared to the money spent on ads, and to manage highly targeted and fragmented online media sources. We are predominantly compensated on a negotiated or market-driven "per click," "per lead," or other "per action" basis that aligns with the customer acquisition cost targets of our clients. For our O&amp;O Sites, we bear the responsibility and cost of acquiring consumers from media partners that ultimately generate qualified clicks, leads, calls, app downloads, or customers for our clients. Our Commerce Media Solutions business operates under exclusive long-term contracts with media partners that generally remunerate the partner on a revenue share basis. Notwithstanding occasional minimum guarantees, the business does not take significant media inventory risk.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Through AdParlor, LLC d/b/a Trevant ("Trevant"), our wholly owned subsidiary, we conduct our non-core business, which offers advertiser clients a managed service for creator marketing and media buying on different social platforms.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b/>
          <w:sz w:val="20"/>
        </w:rPr>
        <w:t>Second Quarter Financial Summary</w:t>
      </w:r>
      <w:r>
        <w:rPr>
          <w:rFonts w:ascii="Times New Roman" w:hAnsi="Times New Roman"/>
          <w:sz w:val="2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Three months ended June 30, 2026, compared to three months ended June 30, 2025:</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Revenue increased 8% to $48.4 million, compared to $44.7 million</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loss was $6.2 million, or $0.20 per share, compared to net loss of $7.2 million or $0.30 per share</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Gross profit (exclusive of depreciation and amortization) increased 36% to $14.0 million, representing 29% of revenue for the three months ended June 30, 2026, from $10.3 million, representing 23% of revenue for the three months ended June 30, 2025</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Media margin increased 46% to $17.5 million, representing 36.1% of revenue for the three months ended June 30, 2026, from $11.9 million, representing 26.7% of revenue for the three months ended June 30, 2025</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Adjusted EBITDA was negative $1.8 million, compared to negative $2.8 million</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Adjusted net loss was $4.2 million, or $0.13 per share, compared to $5.8 million, or $0.24 per share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Six months ended June 30, 2026, compared to six months ended June 30, 2025:</w:t>
      </w:r>
    </w:p>
    <w:tbl>
      <w:tblPr>
        <w:tblW w:w="10205" w:type="dxa"/>
        <w:jc w:val="left"/>
        <w:tblInd w:w="0" w:type="dxa"/>
        <w:tblLayout w:type="fixed"/>
        <w:tblCellMar>
          <w:top w:w="0" w:type="dxa"/>
          <w:left w:w="0" w:type="dxa"/>
          <w:bottom w:w="0" w:type="dxa"/>
          <w:right w:w="0" w:type="dxa"/>
        </w:tblCellMar>
      </w:tblPr>
      <w:tblGrid>
        <w:gridCol w:w="110"/>
        <w:gridCol w:w="10095"/>
      </w:tblGrid>
      <w:tr>
        <w:trPr/>
        <w:tc>
          <w:tcPr>
            <w:tcW w:w="110" w:type="dxa"/>
            <w:tcBorders/>
            <w:vAlign w:val="center"/>
          </w:tcPr>
          <w:p>
            <w:pPr>
              <w:pStyle w:val="TableContents"/>
              <w:bidi w:val="0"/>
              <w:spacing w:before="0" w:after="0"/>
              <w:ind w:left="0" w:right="0" w:hanging="0"/>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Revenue decreased 7% to $93.3 million, compared to $99.9 million</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Net loss was $11.5 million, or $0.37 per share, compared to net loss of $15.5 million or $0.68 per share</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Gross profit (exclusive of depreciation and amortization) increased 11% to $24.0 million, representing 26% of revenue for the six months ended June 30, 2026, from $21.7 million, representing 22% of revenue for the six months ended June 30, 2025</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Media margin increased 23% to $31.5 million, representing 34% of revenue for the six months ended June 30, 2026, from $25.7 million, representing 26% of revenue for the six months ended June 30, 2025</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Adjusted EBITDA was negative $5.4 million, compared to negative $5.9 million</w:t>
            </w:r>
          </w:p>
        </w:tc>
      </w:tr>
      <w:tr>
        <w:trPr/>
        <w:tc>
          <w:tcPr>
            <w:tcW w:w="110" w:type="dxa"/>
            <w:tcBorders/>
            <w:vAlign w:val="center"/>
          </w:tcPr>
          <w:p>
            <w:pPr>
              <w:pStyle w:val="TableContents"/>
              <w:bidi w:val="0"/>
              <w:spacing w:before="0" w:after="283"/>
              <w:jc w:val="left"/>
              <w:rPr/>
            </w:pPr>
            <w:r>
              <w:rPr/>
              <w:t>•</w:t>
            </w:r>
          </w:p>
        </w:tc>
        <w:tc>
          <w:tcPr>
            <w:tcW w:w="1009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Adjusted net loss was $10.0 million, or $0.32 per share, compared to $12.5 million, or $0.55 per share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Media margin, adjusted EBITDA, and adjusted net loss are non-GAAP financial measures. See "Definitions, Reconciliations and Uses of Non-GAAP Financial Measures"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Trends Affecting our Business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commerce media sector has experienced significant growth in recent years, driven by the expansion of e-commerce, increasing demand for privacy-compliant first-party data solutions, and the ability of media owners to generate incremental revenue from their existing consumer traffic. According to eMarketer, the commerce media market is expected to reach a total market value of more than $140 billion by 2030. These industry tailwinds, combined with the media supply challenges affecting our owned and operated business were the basis for the strategic shift to Commerce Media.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launched Commerce Media Solutions in the first quarter of 2023 to access high-value consumers for our advertiser clients and help media owners and e-commerce businesses monetize their existing consumer traffic. Commerce Media Solutions embeds proprietary ad-serving technology in the post-action and post-transaction inventory on partner sites and mobile apps across a range of industries, including retail, ticketing and quick service restaurants. In 2025, we served ads to over 200 million consumers in the post-action and post-transaction moment for top-tier media owners and brands. These consumers are among the highest-intent consumers in digital advertising and have driven significantly higher ROAS for our advertiser clients compared to other channels.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Because Commerce Media Solutions operates on media partner-owned inventory under exclusive long-term contracts, the business typically does not require us to source consumer traffic directly, resulting in a more predictable cost structure and reduced exposure to the media supply challenges that have affected our O&amp;O Sites. Since its launch, Commerce Media Solutions has delivered year-over-year revenue growth in every quarter. For the quarter ended June 30, 2026, Commerce Media Solutions represented approximately 63% of consolidated revenue, compared to approximately 36% for the prior year period. Based on current performance trends, we expect Commerce Media Solutions to represent a majority of consolidated revenue on an ongoing basis and continue to grow as we onboard additional media partners and expand into new verticals and other key moments in the consumer experience.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mix and profitability of Commerce Media Solutions will be influenced by the pace of new partner onboarding, the terms of revenue share arrangements with media partners, and advertiser demand across the verticals we serve. For the second quarter of 2026, we saw Commerce Media Solutions gross margins improve over the prior quarter and the same quarter of the prior year due to improved monetization on placements with certain media partners.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primary revenue channel was historically our O&amp;O Sites. This business depends on our ability to identify and access high-quality media sources and attract targeted users to our offers. As the business grew, we attracted larger and more sophisticated advertiser clients to our marketplaces. In response to evolving client expectations, to increase our value proposition, and strengthen our compliance posture within the evolving regulatory landscape, we implemented various initiatives to improve traffic quality.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recent years, however, we experienced challenges maintaining traffic volume to our O&amp;O Sites due to changes in our ad serving and media sourcing standards following the Federal Trade Commission ("FTC") inquiry. We have since taken steps to diversify our traffic sources and expand our ad network beyond our O&amp;O Sites, including the strategic transition to our Commerce Media Solutions business.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mix and profitability of our media channels, strategies, and partners is likely to continue to be dynamic and reflect evolving market trends and the regulatory environment. Revenue from our owned and operated business declined on a year-over-year basis and the Company continues to shift its focus toward scaling Commerce Media Solutions. Consistent with this strategic transition, we are reallocating our resources to support the growth of Commerce Media Solutions and this long-term growth opportunity.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Seasonality</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performance is subject to fluctuations related to seasonality and cyclicality in our clients' and media partners' businesses. Specifically, our retail specific media partners in our Commerce Media Solutions marketplace are highly seasonal based on fourth quarter consumer spending which can affect advertiser demand and campaign performance. In addition, advertiser marketing budgets may fluctuate throughout the year based on seasonal spending patterns, economic conditions, and other factors, which can impact the timing and volume of advertising spend across our platform. Other factors affecting our business may include macroeconomic conditions that impact the digital advertising industry, the various advertiser client verticals we serve, and general market conditions.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Business Practices &amp; Compliance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have continued to be affected by uncertain economic conditions and the impacts of the previously disclosed FTC inquiry and subsequent 2023 Joint Motion for Entry of Proposed Stipulated Order (the "FTC Consent Order"). In response to the FTC Consent Order, we enhanced our compliance standards and processes across our O&amp;O Sites and programmatic advertising business. These changes have affected our ability to source traffic at historical levels and have contributed to declines in revenue and gross profit in these channels.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Current Economic Conditions</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are subject to risks and uncertainties caused by events with significant macroeconomic impacts. Inflation, rising interest rates, uncertainty regarding tariff policy, global hostilities, and reduced consumer confidence have caused our clients and their customers to be cautious in their spending. The full impact of these macroeconomic events and the extent to which these macro factors may impact our business, financial condition, and results of operations in the future remains uncertain. Considering the uncertain macroeconomic environment, we continue to prioritize strategic investments that have near-term benefits to revenue while also streamlining our organization through cost saving initiatives.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Please see </w:t>
      </w:r>
      <w:r>
        <w:rPr>
          <w:rFonts w:ascii="Times New Roman" w:hAnsi="Times New Roman"/>
          <w:i/>
          <w:caps w:val="false"/>
          <w:smallCaps w:val="false"/>
          <w:sz w:val="20"/>
        </w:rPr>
        <w:t>Item 1A. Risk Factors</w:t>
      </w:r>
      <w:r>
        <w:rPr>
          <w:rFonts w:ascii="Times New Roman" w:hAnsi="Times New Roman"/>
          <w:caps w:val="false"/>
          <w:smallCaps w:val="false"/>
          <w:sz w:val="20"/>
        </w:rPr>
        <w:t xml:space="preserve"> in the 2025 Form 10-K —"Economic or political instability could adversely affect our business, financial condition, and results of operations," and "We are exposed to credit risk from our clients, and we may not be able to collect on amounts owed to us" for further discussion of the possible impact of unfavorable conditions on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Definitions, Reconciliations and Uses of Non-GAAP Financial Measures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report the following non-GAAP measures: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Media margin is defined as that portion of gross profit (exclusive of depreciation and amortization) reflecting variable costs paid for media and related expenses and excluding non-media cost of revenue and one-time items. Gross profit (exclusive of depreciation and amortization) represents revenue minus cost of revenue (exclusive of depreciation and amortization). Media margin is also presented as a percentage of revenue.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Adjusted EBITDA is defined as net income (loss), excluding (1) income taxes, (2) interest expense, net, (3) depreciation and amortization, (4) share-based compensation expense, (5) loss on early extinguishment of debt, (6) loss on disposal of assets, (7) goodwill impairment, (8) impairment of intangible assets, (9) fair value adjustment of Convertible Notes with related parties (see Note 4, </w:t>
      </w:r>
      <w:r>
        <w:rPr>
          <w:rFonts w:ascii="Times New Roman" w:hAnsi="Times New Roman"/>
          <w:i/>
          <w:caps w:val="false"/>
          <w:smallCaps w:val="false"/>
          <w:sz w:val="20"/>
        </w:rPr>
        <w:t>Debt, net</w:t>
      </w:r>
      <w:r>
        <w:rPr>
          <w:rFonts w:ascii="Times New Roman" w:hAnsi="Times New Roman"/>
          <w:caps w:val="false"/>
          <w:smallCaps w:val="false"/>
          <w:sz w:val="20"/>
        </w:rPr>
        <w:t>), (10) acquisition-related costs, (11) restructuring and other severance costs, (12) certain litigation and other related costs, and (13) other one-time items.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Adjusted net income (loss) is defined as net income (loss), excluding (1) share-based compensation expense, (2) loss on early extinguishment of debt, (3) loss on disposal of assets, (4) goodwill impairment, (5) impairment of intangible assets, (6) fair value adjustment of Convertible Notes with related parties (see Note 4, </w:t>
      </w:r>
      <w:r>
        <w:rPr>
          <w:rFonts w:ascii="Times New Roman" w:hAnsi="Times New Roman"/>
          <w:i/>
          <w:caps w:val="false"/>
          <w:smallCaps w:val="false"/>
          <w:sz w:val="20"/>
        </w:rPr>
        <w:t>Debt, net</w:t>
      </w:r>
      <w:r>
        <w:rPr>
          <w:rFonts w:ascii="Times New Roman" w:hAnsi="Times New Roman"/>
          <w:caps w:val="false"/>
          <w:smallCaps w:val="false"/>
          <w:sz w:val="20"/>
        </w:rPr>
        <w:t>), (7) acquisition-related costs, (8) restructuring and other severance costs, (9) certain litigation and other related costs, and (10) other one-time items. Adjusted net income (loss) is also presented on a per share (basic and diluted) basis.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We consider items one-time in nature if they are non-recurring, infrequent or unusual and have not occurred in the past two years or are not expected to recur in the next two years, in accordance with SEC rules.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Below is a reconciliation of media margin from gross profit (exclusive of depreciation and amortization) for the three and six months ended June 30, 2026 and 2025, which we believe is the most directly comparable U.S. GAAP measure: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85"/>
        <w:gridCol w:w="60"/>
        <w:gridCol w:w="180"/>
        <w:gridCol w:w="852"/>
        <w:gridCol w:w="266"/>
        <w:gridCol w:w="85"/>
        <w:gridCol w:w="180"/>
        <w:gridCol w:w="852"/>
        <w:gridCol w:w="185"/>
        <w:gridCol w:w="60"/>
        <w:gridCol w:w="164"/>
        <w:gridCol w:w="779"/>
        <w:gridCol w:w="244"/>
        <w:gridCol w:w="78"/>
        <w:gridCol w:w="164"/>
        <w:gridCol w:w="779"/>
        <w:gridCol w:w="192"/>
      </w:tblGrid>
      <w:tr>
        <w:trPr/>
        <w:tc>
          <w:tcPr>
            <w:tcW w:w="50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41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08"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192" w:type="dxa"/>
            <w:tcBorders/>
            <w:shd w:fill="FFFFFF" w:val="clear"/>
            <w:vAlign w:val="center"/>
          </w:tcPr>
          <w:p>
            <w:pPr>
              <w:pStyle w:val="TableContents"/>
              <w:bidi w:val="0"/>
              <w:spacing w:before="0" w:after="0"/>
              <w:ind w:left="0" w:right="0" w:hanging="0"/>
              <w:jc w:val="left"/>
              <w:rPr/>
            </w:pPr>
            <w:r>
              <w:rPr/>
              <w:t> </w:t>
            </w:r>
          </w:p>
        </w:tc>
      </w:tr>
      <w:tr>
        <w:trPr/>
        <w:tc>
          <w:tcPr>
            <w:tcW w:w="50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percentages)</w:t>
            </w:r>
          </w:p>
        </w:tc>
        <w:tc>
          <w:tcPr>
            <w:tcW w:w="60" w:type="dxa"/>
            <w:tcBorders/>
            <w:shd w:fill="FFFFFF" w:val="clear"/>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266"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03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24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94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192" w:type="dxa"/>
            <w:tcBorders/>
            <w:shd w:fill="FFFFFF" w:val="clear"/>
            <w:vAlign w:val="center"/>
          </w:tcPr>
          <w:p>
            <w:pPr>
              <w:pStyle w:val="TableContents"/>
              <w:bidi w:val="0"/>
              <w:spacing w:before="0" w:after="0"/>
              <w:ind w:left="0" w:right="0" w:hanging="0"/>
              <w:jc w:val="left"/>
              <w:rPr/>
            </w:pPr>
            <w:r>
              <w:rPr/>
              <w:t> </w:t>
            </w:r>
          </w:p>
        </w:tc>
      </w:tr>
      <w:tr>
        <w:trPr/>
        <w:tc>
          <w:tcPr>
            <w:tcW w:w="508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Revenue</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48,449</w:t>
            </w:r>
          </w:p>
        </w:tc>
        <w:tc>
          <w:tcPr>
            <w:tcW w:w="266"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44,706</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93,301</w:t>
            </w:r>
          </w:p>
        </w:tc>
        <w:tc>
          <w:tcPr>
            <w:tcW w:w="24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99,916</w:t>
            </w:r>
          </w:p>
        </w:tc>
        <w:tc>
          <w:tcPr>
            <w:tcW w:w="192" w:type="dxa"/>
            <w:tcBorders/>
            <w:shd w:fill="CCEEFF" w:val="clear"/>
            <w:vAlign w:val="center"/>
          </w:tcPr>
          <w:p>
            <w:pPr>
              <w:pStyle w:val="TableContents"/>
              <w:bidi w:val="0"/>
              <w:spacing w:before="0" w:after="0"/>
              <w:ind w:left="0" w:right="0" w:hanging="0"/>
              <w:jc w:val="left"/>
              <w:rPr/>
            </w:pPr>
            <w:r>
              <w:rPr/>
              <w:t> </w:t>
            </w:r>
          </w:p>
        </w:tc>
      </w:tr>
      <w:tr>
        <w:trPr/>
        <w:tc>
          <w:tcPr>
            <w:tcW w:w="5085"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Less: Cost of revenue (exclusive of depreciation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34,440</w:t>
            </w:r>
          </w:p>
        </w:tc>
        <w:tc>
          <w:tcPr>
            <w:tcW w:w="266" w:type="dxa"/>
            <w:tcBorders/>
            <w:shd w:fill="FFFFFF" w:val="clear"/>
            <w:vAlign w:val="center"/>
          </w:tcPr>
          <w:p>
            <w:pPr>
              <w:pStyle w:val="TableContents"/>
              <w:bidi w:val="0"/>
              <w:spacing w:before="0" w:after="0"/>
              <w:ind w:left="0" w:right="0" w:hanging="0"/>
              <w:jc w:val="left"/>
              <w:rPr/>
            </w:pPr>
            <w:r>
              <w:rPr/>
              <w:t> </w:t>
            </w:r>
          </w:p>
        </w:tc>
        <w:tc>
          <w:tcPr>
            <w:tcW w:w="85"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34,426</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69,253</w:t>
            </w:r>
          </w:p>
        </w:tc>
        <w:tc>
          <w:tcPr>
            <w:tcW w:w="244"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78,201</w:t>
            </w:r>
          </w:p>
        </w:tc>
        <w:tc>
          <w:tcPr>
            <w:tcW w:w="192" w:type="dxa"/>
            <w:tcBorders/>
            <w:shd w:fill="FFFFFF" w:val="clear"/>
            <w:vAlign w:val="center"/>
          </w:tcPr>
          <w:p>
            <w:pPr>
              <w:pStyle w:val="TableContents"/>
              <w:bidi w:val="0"/>
              <w:spacing w:before="0" w:after="0"/>
              <w:ind w:left="0" w:right="0" w:hanging="0"/>
              <w:jc w:val="left"/>
              <w:rPr/>
            </w:pPr>
            <w:r>
              <w:rPr/>
              <w:t> </w:t>
            </w:r>
          </w:p>
        </w:tc>
      </w:tr>
      <w:tr>
        <w:trPr/>
        <w:tc>
          <w:tcPr>
            <w:tcW w:w="50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Gross profit (exclusive of 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14,009</w:t>
            </w:r>
          </w:p>
        </w:tc>
        <w:tc>
          <w:tcPr>
            <w:tcW w:w="266"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10,280</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24,048</w:t>
            </w:r>
          </w:p>
        </w:tc>
        <w:tc>
          <w:tcPr>
            <w:tcW w:w="24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21,715</w:t>
            </w:r>
          </w:p>
        </w:tc>
        <w:tc>
          <w:tcPr>
            <w:tcW w:w="192" w:type="dxa"/>
            <w:tcBorders/>
            <w:shd w:fill="CCEEFF" w:val="clear"/>
            <w:vAlign w:val="center"/>
          </w:tcPr>
          <w:p>
            <w:pPr>
              <w:pStyle w:val="TableContents"/>
              <w:bidi w:val="0"/>
              <w:spacing w:before="0" w:after="0"/>
              <w:ind w:left="0" w:right="0" w:hanging="0"/>
              <w:jc w:val="left"/>
              <w:rPr/>
            </w:pPr>
            <w:r>
              <w:rPr/>
              <w:t> </w:t>
            </w:r>
          </w:p>
        </w:tc>
      </w:tr>
      <w:tr>
        <w:trPr/>
        <w:tc>
          <w:tcPr>
            <w:tcW w:w="50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profit (exclusive of depreciation and amortization) % of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29</w:t>
            </w:r>
          </w:p>
        </w:tc>
        <w:tc>
          <w:tcPr>
            <w:tcW w:w="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bidi w:val="0"/>
              <w:spacing w:before="0" w:after="0"/>
              <w:ind w:left="0" w:right="0" w:hanging="0"/>
              <w:jc w:val="left"/>
              <w:rPr/>
            </w:pPr>
            <w:r>
              <w:rPr/>
              <w:t> </w:t>
            </w:r>
          </w:p>
        </w:tc>
        <w:tc>
          <w:tcPr>
            <w:tcW w:w="180" w:type="dxa"/>
            <w:tcBorders/>
            <w:shd w:fill="FFFFFF" w:val="clear"/>
            <w:vAlign w:val="center"/>
          </w:tcPr>
          <w:p>
            <w:pPr>
              <w:pStyle w:val="TableContents"/>
              <w:bidi w:val="0"/>
              <w:spacing w:before="0" w:after="0"/>
              <w:ind w:left="0" w:right="0" w:hanging="0"/>
              <w:jc w:val="left"/>
              <w:rPr/>
            </w:pPr>
            <w:r>
              <w:rPr/>
              <w:t> </w:t>
            </w:r>
          </w:p>
        </w:tc>
        <w:tc>
          <w:tcPr>
            <w:tcW w:w="8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shd w:fill="FFFFFF" w:val="clear"/>
            <w:vAlign w:val="center"/>
          </w:tcPr>
          <w:p>
            <w:pPr>
              <w:pStyle w:val="TableContents"/>
              <w:bidi w:val="0"/>
              <w:spacing w:before="0" w:after="0"/>
              <w:ind w:left="0" w:right="0" w:hanging="0"/>
              <w:jc w:val="left"/>
              <w:rPr/>
            </w:pPr>
            <w:r>
              <w:rPr/>
              <w:t> </w:t>
            </w:r>
          </w:p>
        </w:tc>
        <w:tc>
          <w:tcPr>
            <w:tcW w:w="779"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w:t>
            </w:r>
          </w:p>
        </w:tc>
        <w:tc>
          <w:tcPr>
            <w:tcW w:w="1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85" w:type="dxa"/>
            <w:tcBorders/>
            <w:shd w:fill="CCEE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Non-media cost of revenue</w:t>
            </w:r>
            <w:r>
              <w:rPr>
                <w:rFonts w:ascii="Times New Roman" w:hAnsi="Times New Roman"/>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3,640</w:t>
            </w:r>
          </w:p>
        </w:tc>
        <w:tc>
          <w:tcPr>
            <w:tcW w:w="266"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80" w:type="dxa"/>
            <w:tcBorders/>
            <w:shd w:fill="CCEEFF" w:val="clear"/>
            <w:vAlign w:val="center"/>
          </w:tcPr>
          <w:p>
            <w:pPr>
              <w:pStyle w:val="TableContents"/>
              <w:bidi w:val="0"/>
              <w:spacing w:before="0" w:after="0"/>
              <w:ind w:left="0" w:right="0" w:hanging="0"/>
              <w:jc w:val="left"/>
              <w:rPr/>
            </w:pPr>
            <w:r>
              <w:rPr/>
              <w:t> </w:t>
            </w:r>
          </w:p>
        </w:tc>
        <w:tc>
          <w:tcPr>
            <w:tcW w:w="8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1,663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7,601</w:t>
            </w:r>
          </w:p>
        </w:tc>
        <w:tc>
          <w:tcPr>
            <w:tcW w:w="24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0"/>
              <w:ind w:left="0" w:right="0" w:hanging="0"/>
              <w:jc w:val="left"/>
              <w:rPr/>
            </w:pPr>
            <w:r>
              <w:rPr/>
              <w:t> </w:t>
            </w:r>
          </w:p>
        </w:tc>
        <w:tc>
          <w:tcPr>
            <w:tcW w:w="779"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3,959</w:t>
            </w:r>
          </w:p>
        </w:tc>
        <w:tc>
          <w:tcPr>
            <w:tcW w:w="192" w:type="dxa"/>
            <w:tcBorders/>
            <w:shd w:fill="CCEEFF" w:val="clear"/>
            <w:vAlign w:val="center"/>
          </w:tcPr>
          <w:p>
            <w:pPr>
              <w:pStyle w:val="TableContents"/>
              <w:bidi w:val="0"/>
              <w:spacing w:before="0" w:after="0"/>
              <w:ind w:left="0" w:right="0" w:hanging="0"/>
              <w:jc w:val="left"/>
              <w:rPr/>
            </w:pPr>
            <w:r>
              <w:rPr/>
              <w:t> </w:t>
            </w:r>
          </w:p>
        </w:tc>
      </w:tr>
      <w:tr>
        <w:trPr/>
        <w:tc>
          <w:tcPr>
            <w:tcW w:w="508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One-time item</w:t>
            </w:r>
            <w:r>
              <w:rPr>
                <w:rFonts w:ascii="Times New Roman" w:hAnsi="Times New Roman"/>
                <w:caps w:val="false"/>
                <w:smallCaps w:val="false"/>
                <w:position w:val="7"/>
                <w:sz w:val="16"/>
                <w:sz w:val="20"/>
              </w:rPr>
              <w:t>(2)</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bidi w:val="0"/>
              <w:spacing w:before="0" w:after="0"/>
              <w:ind w:left="0" w:right="0" w:hanging="0"/>
              <w:jc w:val="left"/>
              <w:rPr/>
            </w:pPr>
            <w:r>
              <w:rPr/>
              <w:t> </w:t>
            </w:r>
          </w:p>
        </w:tc>
        <w:tc>
          <w:tcPr>
            <w:tcW w:w="1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2"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9" w:type="dxa"/>
            <w:tcBorders>
              <w:bottom w:val="single" w:sz="2" w:space="0" w:color="000000"/>
            </w:tcBorders>
            <w:shd w:fill="FFFFFF" w:val="clear"/>
            <w:tcMar>
              <w:bottom w:w="28" w:type="dxa"/>
            </w:tcMar>
            <w:vAlign w:val="center"/>
          </w:tcPr>
          <w:p>
            <w:pPr>
              <w:pStyle w:val="TableContents"/>
              <w:bidi w:val="0"/>
              <w:spacing w:before="0" w:after="283"/>
              <w:jc w:val="right"/>
              <w:rPr/>
            </w:pPr>
            <w:r>
              <w:rPr/>
              <w:t>—</w:t>
            </w:r>
          </w:p>
        </w:tc>
        <w:tc>
          <w:tcPr>
            <w:tcW w:w="192" w:type="dxa"/>
            <w:tcBorders/>
            <w:shd w:fill="FFFFFF" w:val="clear"/>
            <w:vAlign w:val="center"/>
          </w:tcPr>
          <w:p>
            <w:pPr>
              <w:pStyle w:val="TableContents"/>
              <w:bidi w:val="0"/>
              <w:spacing w:before="0" w:after="0"/>
              <w:ind w:left="0" w:right="0" w:hanging="0"/>
              <w:jc w:val="left"/>
              <w:rPr/>
            </w:pPr>
            <w:r>
              <w:rPr/>
              <w:t> </w:t>
            </w:r>
          </w:p>
        </w:tc>
      </w:tr>
      <w:tr>
        <w:trPr/>
        <w:tc>
          <w:tcPr>
            <w:tcW w:w="508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Media margin</w:t>
            </w:r>
          </w:p>
        </w:tc>
        <w:tc>
          <w:tcPr>
            <w:tcW w:w="60" w:type="dxa"/>
            <w:tcBorders/>
            <w:shd w:fill="CCEE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17,493</w:t>
            </w:r>
          </w:p>
        </w:tc>
        <w:tc>
          <w:tcPr>
            <w:tcW w:w="266" w:type="dxa"/>
            <w:tcBorders/>
            <w:shd w:fill="CCEEFF" w:val="clear"/>
            <w:vAlign w:val="center"/>
          </w:tcPr>
          <w:p>
            <w:pPr>
              <w:pStyle w:val="TableContents"/>
              <w:bidi w:val="0"/>
              <w:spacing w:before="0" w:after="0"/>
              <w:ind w:left="0" w:right="0" w:hanging="0"/>
              <w:jc w:val="left"/>
              <w:rPr/>
            </w:pPr>
            <w:r>
              <w:rPr/>
              <w:t> </w:t>
            </w:r>
          </w:p>
        </w:tc>
        <w:tc>
          <w:tcPr>
            <w:tcW w:w="85" w:type="dxa"/>
            <w:tcBorders/>
            <w:shd w:fill="CCEE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11,943</w:t>
            </w:r>
          </w:p>
        </w:tc>
        <w:tc>
          <w:tcPr>
            <w:tcW w:w="185"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31,493</w:t>
            </w:r>
          </w:p>
        </w:tc>
        <w:tc>
          <w:tcPr>
            <w:tcW w:w="244"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77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25,674</w:t>
            </w:r>
          </w:p>
        </w:tc>
        <w:tc>
          <w:tcPr>
            <w:tcW w:w="192" w:type="dxa"/>
            <w:tcBorders/>
            <w:shd w:fill="CCEEFF" w:val="clear"/>
            <w:vAlign w:val="center"/>
          </w:tcPr>
          <w:p>
            <w:pPr>
              <w:pStyle w:val="TableContents"/>
              <w:bidi w:val="0"/>
              <w:spacing w:before="0" w:after="0"/>
              <w:ind w:left="0" w:right="0" w:hanging="0"/>
              <w:jc w:val="left"/>
              <w:rPr/>
            </w:pPr>
            <w:r>
              <w:rPr/>
              <w:t> </w:t>
            </w:r>
          </w:p>
        </w:tc>
      </w:tr>
      <w:tr>
        <w:trPr/>
        <w:tc>
          <w:tcPr>
            <w:tcW w:w="508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Media margin % of revenue</w:t>
            </w:r>
          </w:p>
        </w:tc>
        <w:tc>
          <w:tcPr>
            <w:tcW w:w="60"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36.1</w:t>
            </w:r>
          </w:p>
        </w:tc>
        <w:tc>
          <w:tcPr>
            <w:tcW w:w="26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5" w:type="dxa"/>
            <w:tcBorders/>
            <w:shd w:fill="FFFFFF" w:val="clear"/>
            <w:vAlign w:val="center"/>
          </w:tcPr>
          <w:p>
            <w:pPr>
              <w:pStyle w:val="TableContents"/>
              <w:bidi w:val="0"/>
              <w:spacing w:before="0" w:after="0"/>
              <w:ind w:left="0" w:right="0" w:hanging="0"/>
              <w:jc w:val="left"/>
              <w:rPr/>
            </w:pPr>
            <w:r>
              <w:rPr/>
              <w:t> </w:t>
            </w:r>
          </w:p>
        </w:tc>
        <w:tc>
          <w:tcPr>
            <w:tcW w:w="1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8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26.7</w:t>
            </w:r>
          </w:p>
        </w:tc>
        <w:tc>
          <w:tcPr>
            <w:tcW w:w="185"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33.8</w:t>
            </w:r>
          </w:p>
        </w:tc>
        <w:tc>
          <w:tcPr>
            <w:tcW w:w="244"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78" w:type="dxa"/>
            <w:tcBorders/>
            <w:shd w:fill="FFFFFF" w:val="clear"/>
            <w:vAlign w:val="center"/>
          </w:tcPr>
          <w:p>
            <w:pPr>
              <w:pStyle w:val="TableContents"/>
              <w:bidi w:val="0"/>
              <w:spacing w:before="0" w:after="0"/>
              <w:ind w:left="0" w:right="0" w:hanging="0"/>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7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25.7</w:t>
            </w:r>
          </w:p>
        </w:tc>
        <w:tc>
          <w:tcPr>
            <w:tcW w:w="192"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1"/>
        <w:gridCol w:w="9974"/>
      </w:tblGrid>
      <w:tr>
        <w:trPr/>
        <w:tc>
          <w:tcPr>
            <w:tcW w:w="23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7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Represents the portion of cost of revenue (exclusive of depreciation and amortization) not attributable to variable costs paid for media and related expenses.</w:t>
            </w:r>
          </w:p>
        </w:tc>
      </w:tr>
      <w:tr>
        <w:trPr/>
        <w:tc>
          <w:tcPr>
            <w:tcW w:w="23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7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Includes a one-time non-media revenue adjustment of ($156) in connection with a settlement with a media partner.</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Below is a reconciliation of adjusted EBITDA from net loss for the three and six months ended June 30, 2026 and 2025, which we believe is the most directly comparable U.S. GAAP measure: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095"/>
        <w:gridCol w:w="60"/>
        <w:gridCol w:w="213"/>
        <w:gridCol w:w="933"/>
        <w:gridCol w:w="136"/>
        <w:gridCol w:w="101"/>
        <w:gridCol w:w="213"/>
        <w:gridCol w:w="933"/>
        <w:gridCol w:w="80"/>
        <w:gridCol w:w="60"/>
        <w:gridCol w:w="169"/>
        <w:gridCol w:w="883"/>
        <w:gridCol w:w="107"/>
        <w:gridCol w:w="80"/>
        <w:gridCol w:w="169"/>
        <w:gridCol w:w="883"/>
        <w:gridCol w:w="90"/>
      </w:tblGrid>
      <w:tr>
        <w:trPr/>
        <w:tc>
          <w:tcPr>
            <w:tcW w:w="50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29"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11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114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10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05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(6,177</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(11,531</w:t>
            </w:r>
          </w:p>
        </w:tc>
        <w:tc>
          <w:tcPr>
            <w:tcW w:w="1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(15,492</w:t>
            </w:r>
          </w:p>
        </w:tc>
        <w:tc>
          <w:tcPr>
            <w:tcW w:w="9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Income tax expense</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(107)</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8</w:t>
            </w:r>
          </w:p>
        </w:tc>
        <w:tc>
          <w:tcPr>
            <w:tcW w:w="10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126</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637</w:t>
            </w:r>
          </w:p>
        </w:tc>
        <w:tc>
          <w:tcPr>
            <w:tcW w:w="136"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702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1,242</w:t>
            </w:r>
          </w:p>
        </w:tc>
        <w:tc>
          <w:tcPr>
            <w:tcW w:w="10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1,582</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1,710</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2,479</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3,391</w:t>
            </w:r>
          </w:p>
        </w:tc>
        <w:tc>
          <w:tcPr>
            <w:tcW w:w="10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4,940</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1,838</w:t>
            </w:r>
          </w:p>
        </w:tc>
        <w:tc>
          <w:tcPr>
            <w:tcW w:w="136"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2,792</w:t>
            </w:r>
          </w:p>
        </w:tc>
        <w:tc>
          <w:tcPr>
            <w:tcW w:w="10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disposal of assets</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pPr>
            <w:r>
              <w:rPr/>
              <w:t>—</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10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pPr>
            <w:r>
              <w:rPr/>
              <w:t>—</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of Convertible Notes with related parties</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w:t>
            </w:r>
          </w:p>
        </w:tc>
        <w:tc>
          <w:tcPr>
            <w:tcW w:w="136"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w:t>
            </w:r>
          </w:p>
        </w:tc>
        <w:tc>
          <w:tcPr>
            <w:tcW w:w="10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Acquisition-related costs</w:t>
            </w:r>
            <w:r>
              <w:rPr>
                <w:rFonts w:ascii="Times New Roman" w:hAnsi="Times New Roman"/>
                <w:position w:val="7"/>
                <w:sz w:val="16"/>
                <w:sz w:val="20"/>
              </w:rPr>
              <w:t>(1)</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pPr>
            <w:r>
              <w:rPr/>
              <w:t>—</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1,213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(2,352</w:t>
            </w:r>
          </w:p>
        </w:tc>
        <w:tc>
          <w:tcPr>
            <w:tcW w:w="1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1,094</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Restructuring and other severance costs</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pPr>
            <w:r>
              <w:rPr/>
              <w:t>—</w:t>
            </w:r>
          </w:p>
        </w:tc>
        <w:tc>
          <w:tcPr>
            <w:tcW w:w="136" w:type="dxa"/>
            <w:tcBorders/>
            <w:shd w:fill="CCEEFF" w:val="clear"/>
            <w:vAlign w:val="center"/>
          </w:tcPr>
          <w:p>
            <w:pPr>
              <w:pStyle w:val="TableContents"/>
              <w:bidi w:val="0"/>
              <w:spacing w:before="0" w:after="0"/>
              <w:ind w:left="0" w:right="0" w:hanging="0"/>
              <w:jc w:val="left"/>
              <w:rPr/>
            </w:pPr>
            <w:r>
              <w:rPr/>
              <w:t> </w:t>
            </w:r>
          </w:p>
        </w:tc>
        <w:tc>
          <w:tcPr>
            <w:tcW w:w="101" w:type="dxa"/>
            <w:tcBorders/>
            <w:shd w:fill="CCEEFF" w:val="clear"/>
            <w:vAlign w:val="center"/>
          </w:tcPr>
          <w:p>
            <w:pPr>
              <w:pStyle w:val="TableContents"/>
              <w:bidi w:val="0"/>
              <w:spacing w:before="0" w:after="0"/>
              <w:ind w:left="0" w:right="0" w:hanging="0"/>
              <w:jc w:val="left"/>
              <w:rPr/>
            </w:pPr>
            <w:r>
              <w:rPr/>
              <w:t> </w:t>
            </w:r>
          </w:p>
        </w:tc>
        <w:tc>
          <w:tcPr>
            <w:tcW w:w="213" w:type="dxa"/>
            <w:tcBorders/>
            <w:shd w:fill="CCEEFF" w:val="clear"/>
            <w:vAlign w:val="center"/>
          </w:tcPr>
          <w:p>
            <w:pPr>
              <w:pStyle w:val="TableContents"/>
              <w:bidi w:val="0"/>
              <w:spacing w:before="0" w:after="0"/>
              <w:ind w:left="0" w:right="0" w:hanging="0"/>
              <w:jc w:val="left"/>
              <w:rPr/>
            </w:pPr>
            <w:r>
              <w:rPr/>
              <w:t> </w:t>
            </w:r>
          </w:p>
        </w:tc>
        <w:tc>
          <w:tcPr>
            <w:tcW w:w="93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107"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169" w:type="dxa"/>
            <w:tcBorders/>
            <w:shd w:fill="CCEEFF" w:val="clear"/>
            <w:vAlign w:val="center"/>
          </w:tcPr>
          <w:p>
            <w:pPr>
              <w:pStyle w:val="TableContents"/>
              <w:bidi w:val="0"/>
              <w:spacing w:before="0" w:after="0"/>
              <w:ind w:left="0" w:right="0" w:hanging="0"/>
              <w:jc w:val="left"/>
              <w:rPr/>
            </w:pPr>
            <w:r>
              <w:rPr/>
              <w:t> </w:t>
            </w:r>
          </w:p>
        </w:tc>
        <w:tc>
          <w:tcPr>
            <w:tcW w:w="88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litigation and other related costs</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3" w:type="dxa"/>
            <w:tcBorders/>
            <w:shd w:fill="FFFFFF" w:val="clear"/>
            <w:vAlign w:val="center"/>
          </w:tcPr>
          <w:p>
            <w:pPr>
              <w:pStyle w:val="TableContents"/>
              <w:bidi w:val="0"/>
              <w:spacing w:before="0" w:after="0"/>
              <w:ind w:left="360" w:right="0" w:hanging="0"/>
              <w:jc w:val="right"/>
              <w:rPr>
                <w:rFonts w:ascii="Times New Roman" w:hAnsi="Times New Roman"/>
                <w:sz w:val="20"/>
              </w:rPr>
            </w:pPr>
            <w:r>
              <w:rPr>
                <w:rFonts w:ascii="Times New Roman" w:hAnsi="Times New Roman"/>
                <w:sz w:val="20"/>
              </w:rPr>
              <w:t>(250)</w:t>
            </w:r>
          </w:p>
        </w:tc>
        <w:tc>
          <w:tcPr>
            <w:tcW w:w="136" w:type="dxa"/>
            <w:tcBorders/>
            <w:shd w:fill="FFFFFF" w:val="clear"/>
            <w:vAlign w:val="center"/>
          </w:tcPr>
          <w:p>
            <w:pPr>
              <w:pStyle w:val="TableContents"/>
              <w:bidi w:val="0"/>
              <w:spacing w:before="0" w:after="0"/>
              <w:ind w:left="0" w:right="0" w:hanging="0"/>
              <w:jc w:val="left"/>
              <w:rPr/>
            </w:pPr>
            <w:r>
              <w:rPr/>
              <w:t> </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shd w:fill="FFFFFF" w:val="clear"/>
            <w:vAlign w:val="center"/>
          </w:tcPr>
          <w:p>
            <w:pPr>
              <w:pStyle w:val="TableContents"/>
              <w:bidi w:val="0"/>
              <w:spacing w:before="0" w:after="0"/>
              <w:ind w:left="0" w:right="0" w:hanging="0"/>
              <w:jc w:val="left"/>
              <w:rPr/>
            </w:pPr>
            <w:r>
              <w:rPr/>
              <w:t> </w:t>
            </w:r>
          </w:p>
        </w:tc>
        <w:tc>
          <w:tcPr>
            <w:tcW w:w="93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(250)</w:t>
            </w:r>
          </w:p>
        </w:tc>
        <w:tc>
          <w:tcPr>
            <w:tcW w:w="107"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shd w:fill="FFFFFF" w:val="clear"/>
            <w:vAlign w:val="center"/>
          </w:tcPr>
          <w:p>
            <w:pPr>
              <w:pStyle w:val="TableContents"/>
              <w:bidi w:val="0"/>
              <w:spacing w:before="0" w:after="0"/>
              <w:ind w:left="0" w:right="0" w:hanging="0"/>
              <w:jc w:val="left"/>
              <w:rPr/>
            </w:pPr>
            <w:r>
              <w:rPr/>
              <w:t> </w:t>
            </w:r>
          </w:p>
        </w:tc>
        <w:tc>
          <w:tcPr>
            <w:tcW w:w="883" w:type="dxa"/>
            <w:tcBorders/>
            <w:shd w:fill="FFFFFF" w:val="clear"/>
            <w:vAlign w:val="center"/>
          </w:tcPr>
          <w:p>
            <w:pPr>
              <w:pStyle w:val="TableContents"/>
              <w:bidi w:val="0"/>
              <w:spacing w:before="0" w:after="0"/>
              <w:jc w:val="right"/>
              <w:rPr>
                <w:rFonts w:ascii="Times New Roman" w:hAnsi="Times New Roman"/>
                <w:sz w:val="20"/>
              </w:rPr>
            </w:pPr>
            <w:r>
              <w:rPr>
                <w:rFonts w:ascii="Times New Roman" w:hAnsi="Times New Roman"/>
                <w:sz w:val="20"/>
              </w:rPr>
              <w:t>300</w:t>
            </w:r>
          </w:p>
        </w:tc>
        <w:tc>
          <w:tcPr>
            <w:tcW w:w="90" w:type="dxa"/>
            <w:tcBorders/>
            <w:shd w:fill="FFFFFF" w:val="clear"/>
            <w:vAlign w:val="center"/>
          </w:tcPr>
          <w:p>
            <w:pPr>
              <w:pStyle w:val="TableContents"/>
              <w:bidi w:val="0"/>
              <w:spacing w:before="0" w:after="0"/>
              <w:ind w:left="0" w:right="0" w:hanging="0"/>
              <w:jc w:val="left"/>
              <w:rPr/>
            </w:pPr>
            <w:r>
              <w:rPr/>
              <w:t> </w:t>
            </w:r>
          </w:p>
        </w:tc>
      </w:tr>
      <w:tr>
        <w:trPr/>
        <w:tc>
          <w:tcPr>
            <w:tcW w:w="5095"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One-time item</w:t>
            </w:r>
            <w:r>
              <w:rPr>
                <w:rFonts w:ascii="Times New Roman" w:hAnsi="Times New Roman"/>
                <w:caps w:val="false"/>
                <w:smallCaps w:val="false"/>
                <w:position w:val="7"/>
                <w:sz w:val="16"/>
                <w:sz w:val="20"/>
              </w:rPr>
              <w:t>(2)</w:t>
            </w:r>
          </w:p>
        </w:tc>
        <w:tc>
          <w:tcPr>
            <w:tcW w:w="60"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136"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CCEEFF" w:val="clear"/>
            <w:vAlign w:val="center"/>
          </w:tcPr>
          <w:p>
            <w:pPr>
              <w:pStyle w:val="TableContents"/>
              <w:bidi w:val="0"/>
              <w:spacing w:before="0" w:after="0"/>
              <w:ind w:left="0" w:right="0" w:hanging="0"/>
              <w:jc w:val="left"/>
              <w:rPr/>
            </w:pPr>
            <w:r>
              <w:rPr/>
              <w:t> </w:t>
            </w:r>
          </w:p>
        </w:tc>
        <w:tc>
          <w:tcPr>
            <w:tcW w:w="21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933"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jc w:val="right"/>
              <w:rPr>
                <w:rFonts w:ascii="Times New Roman" w:hAnsi="Times New Roman"/>
                <w:sz w:val="20"/>
              </w:rPr>
            </w:pPr>
            <w:r>
              <w:rPr>
                <w:rFonts w:ascii="Times New Roman" w:hAnsi="Times New Roman"/>
                <w:sz w:val="20"/>
              </w:rPr>
              <w:t>(156</w:t>
            </w:r>
          </w:p>
        </w:tc>
        <w:tc>
          <w:tcPr>
            <w:tcW w:w="10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CCEEFF" w:val="clear"/>
            <w:vAlign w:val="center"/>
          </w:tcPr>
          <w:p>
            <w:pPr>
              <w:pStyle w:val="TableContents"/>
              <w:bidi w:val="0"/>
              <w:spacing w:before="0" w:after="0"/>
              <w:ind w:left="0" w:right="0" w:hanging="0"/>
              <w:jc w:val="left"/>
              <w:rPr/>
            </w:pPr>
            <w:r>
              <w:rPr/>
              <w:t> </w:t>
            </w:r>
          </w:p>
        </w:tc>
        <w:tc>
          <w:tcPr>
            <w:tcW w:w="1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883" w:type="dxa"/>
            <w:tcBorders>
              <w:bottom w:val="single" w:sz="2" w:space="0" w:color="000000"/>
            </w:tcBorders>
            <w:shd w:fill="CCEEFF" w:val="clear"/>
            <w:tcMar>
              <w:bottom w:w="28" w:type="dxa"/>
            </w:tcMar>
            <w:vAlign w:val="center"/>
          </w:tcPr>
          <w:p>
            <w:pPr>
              <w:pStyle w:val="TableContents"/>
              <w:bidi w:val="0"/>
              <w:spacing w:before="0" w:after="283"/>
              <w:jc w:val="right"/>
              <w:rPr/>
            </w:pPr>
            <w:r>
              <w:rPr/>
              <w:t>—</w:t>
            </w:r>
          </w:p>
        </w:tc>
        <w:tc>
          <w:tcPr>
            <w:tcW w:w="90" w:type="dxa"/>
            <w:tcBorders/>
            <w:shd w:fill="CCEEFF" w:val="clear"/>
            <w:vAlign w:val="center"/>
          </w:tcPr>
          <w:p>
            <w:pPr>
              <w:pStyle w:val="TableContents"/>
              <w:bidi w:val="0"/>
              <w:spacing w:before="0" w:after="0"/>
              <w:ind w:left="0" w:right="0" w:hanging="0"/>
              <w:jc w:val="left"/>
              <w:rPr/>
            </w:pPr>
            <w:r>
              <w:rPr/>
              <w:t> </w:t>
            </w:r>
          </w:p>
        </w:tc>
      </w:tr>
      <w:tr>
        <w:trPr/>
        <w:tc>
          <w:tcPr>
            <w:tcW w:w="5095"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EBITDA</w:t>
            </w:r>
          </w:p>
        </w:tc>
        <w:tc>
          <w:tcPr>
            <w:tcW w:w="60" w:type="dxa"/>
            <w:tcBorders/>
            <w:shd w:fill="FFFFFF" w:val="clear"/>
            <w:vAlign w:val="center"/>
          </w:tcPr>
          <w:p>
            <w:pPr>
              <w:pStyle w:val="TableContents"/>
              <w:bidi w:val="0"/>
              <w:spacing w:before="0" w:after="0"/>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(1,809</w:t>
            </w:r>
          </w:p>
        </w:tc>
        <w:tc>
          <w:tcPr>
            <w:tcW w:w="136"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101" w:type="dxa"/>
            <w:tcBorders/>
            <w:shd w:fill="FFFFFF" w:val="clear"/>
            <w:vAlign w:val="center"/>
          </w:tcPr>
          <w:p>
            <w:pPr>
              <w:pStyle w:val="TableContents"/>
              <w:bidi w:val="0"/>
              <w:spacing w:before="0" w:after="0"/>
              <w:ind w:left="0" w:right="0" w:hanging="0"/>
              <w:jc w:val="left"/>
              <w:rPr/>
            </w:pPr>
            <w:r>
              <w:rPr/>
              <w:t> </w:t>
            </w:r>
          </w:p>
        </w:tc>
        <w:tc>
          <w:tcPr>
            <w:tcW w:w="21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3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(2,773</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(5,370</w:t>
            </w:r>
          </w:p>
        </w:tc>
        <w:tc>
          <w:tcPr>
            <w:tcW w:w="10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80" w:type="dxa"/>
            <w:tcBorders/>
            <w:shd w:fill="FFFFFF" w:val="clear"/>
            <w:vAlign w:val="center"/>
          </w:tcPr>
          <w:p>
            <w:pPr>
              <w:pStyle w:val="TableContents"/>
              <w:bidi w:val="0"/>
              <w:spacing w:before="0" w:after="0"/>
              <w:ind w:left="0" w:right="0" w:hanging="0"/>
              <w:jc w:val="left"/>
              <w:rPr/>
            </w:pPr>
            <w:r>
              <w:rPr/>
              <w:t> </w:t>
            </w:r>
          </w:p>
        </w:tc>
        <w:tc>
          <w:tcPr>
            <w:tcW w:w="1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8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(5,857</w:t>
            </w:r>
          </w:p>
        </w:tc>
        <w:tc>
          <w:tcPr>
            <w:tcW w:w="9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(1)</w:t>
            </w:r>
          </w:p>
        </w:tc>
        <w:tc>
          <w:tcPr>
            <w:tcW w:w="10014" w:type="dxa"/>
            <w:tcBorders/>
            <w:shd w:fill="FFFFFF" w:val="clear"/>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Balance includes gain on the conveyance of the membership interest of Winopoly in January 2026 of $2,352 (refer to Note 12, </w:t>
            </w:r>
            <w:r>
              <w:rPr>
                <w:rFonts w:ascii="Times New Roman;Times;serif" w:hAnsi="Times New Roman;Times;serif"/>
                <w:i/>
                <w:sz w:val="20"/>
              </w:rPr>
              <w:t>Divestiture</w:t>
            </w:r>
            <w:r>
              <w:rPr>
                <w:rFonts w:ascii="Times New Roman;Times;serif" w:hAnsi="Times New Roman;Times;serif"/>
                <w:sz w:val="20"/>
              </w:rPr>
              <w:t xml:space="preserve"> in the notes to our consolidated financial statements included in this Form 10-Q). Balance also includes a $698 write-off of intangibles and related expenses related to the write-off of TAPP Influencers Corp. in May 2025. Additionally, the balance includes compensation expense related to non-compete agreements and earn-out expense incurred as a result of business combinations; earn-out expenses were in the amount of $0 and ($9) for the three months ended June 30, 2026 and 2025, respectively, and $0 and  ($128) for the  six months ended June 30, 2026 and 2025, respectively, while non-compete agreements were in the amount of $0 and $412 for the three months ended June 30, 2026 and 2025, respectively, and $0 and $412  for the six months ended June 30, 2026 and 2025, respectively. </w:t>
            </w:r>
          </w:p>
        </w:tc>
      </w:tr>
      <w:tr>
        <w:trPr/>
        <w:tc>
          <w:tcPr>
            <w:tcW w:w="1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100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Includes a one-time non-media revenue adjustment of ($156) in connection with a settlement with a media partner.</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Below is a reconciliation of adjusted net loss and adjusted net loss per share from net loss for the three and six months ended June 30, 2026 and 2025, which we believe is the most directly comparable U.S. GAAP measure.</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5091"/>
        <w:gridCol w:w="60"/>
        <w:gridCol w:w="137"/>
        <w:gridCol w:w="1052"/>
        <w:gridCol w:w="87"/>
        <w:gridCol w:w="65"/>
        <w:gridCol w:w="137"/>
        <w:gridCol w:w="1052"/>
        <w:gridCol w:w="80"/>
        <w:gridCol w:w="60"/>
        <w:gridCol w:w="125"/>
        <w:gridCol w:w="953"/>
        <w:gridCol w:w="80"/>
        <w:gridCol w:w="60"/>
        <w:gridCol w:w="125"/>
        <w:gridCol w:w="953"/>
        <w:gridCol w:w="88"/>
      </w:tblGrid>
      <w:tr>
        <w:trPr/>
        <w:tc>
          <w:tcPr>
            <w:tcW w:w="5091"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3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Three Months Ended June 30,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296"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Six Months Ended June 30,</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 thousands, except share and per share data)</w:t>
            </w:r>
          </w:p>
        </w:tc>
        <w:tc>
          <w:tcPr>
            <w:tcW w:w="60"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1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2026</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0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2025</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(6,177</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(7,223</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(11,531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(15,492</w:t>
            </w:r>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Share-based compensation expense</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1,838</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331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2,792</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666</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Loss on disposal of assets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pPr>
            <w:r>
              <w:rPr/>
              <w:t>—</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Fair value adjustment of Convertible Notes with related parties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(478)</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1,421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(398)</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Acquisition-related costs</w:t>
            </w:r>
            <w:r>
              <w:rPr>
                <w:rFonts w:ascii="Times New Roman" w:hAnsi="Times New Roman"/>
                <w:caps w:val="false"/>
                <w:smallCaps w:val="false"/>
                <w:position w:val="7"/>
                <w:sz w:val="16"/>
                <w:sz w:val="20"/>
              </w:rPr>
              <w:t>(1)</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283"/>
              <w:jc w:val="right"/>
              <w:rPr/>
            </w:pPr>
            <w:r>
              <w:rPr/>
              <w:t>—</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1,213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(2,352)</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1,094</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Restructuring and other severance costs</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pPr>
            <w:r>
              <w:rPr/>
              <w:t>—</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51</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1,325</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Certain litigation and other related costs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(250)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283"/>
              <w:jc w:val="right"/>
              <w:rPr>
                <w:rFonts w:ascii="Times New Roman" w:hAnsi="Times New Roman"/>
                <w:sz w:val="20"/>
              </w:rPr>
            </w:pPr>
            <w:r>
              <w:rPr>
                <w:rFonts w:ascii="Times New Roman" w:hAnsi="Times New Roman"/>
                <w:sz w:val="20"/>
              </w:rPr>
              <w:t>300</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One-time item</w:t>
            </w:r>
            <w:r>
              <w:rPr>
                <w:rFonts w:ascii="Times New Roman" w:hAnsi="Times New Roman"/>
                <w:position w:val="7"/>
                <w:sz w:val="16"/>
                <w:sz w:val="20"/>
              </w:rPr>
              <w:t>(2)</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(156</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9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(4,161</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(5,847</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(10,011</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(12,505</w:t>
            </w:r>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91" w:type="dxa"/>
            <w:tcBorders/>
            <w:shd w:fill="FFFF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Adjusted net loss per share:</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0"/>
              <w:ind w:left="0" w:right="0" w:hanging="0"/>
              <w:jc w:val="left"/>
              <w:rPr/>
            </w:pPr>
            <w:r>
              <w:rPr/>
              <w:t> </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0"/>
              <w:ind w:left="0" w:right="0" w:hanging="0"/>
              <w:jc w:val="left"/>
              <w:rPr/>
            </w:pPr>
            <w:r>
              <w:rPr/>
              <w:t> </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(0.13</w:t>
            </w:r>
          </w:p>
        </w:tc>
        <w:tc>
          <w:tcPr>
            <w:tcW w:w="87"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(0.24</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(0.32</w:t>
            </w:r>
          </w:p>
        </w:tc>
        <w:tc>
          <w:tcPr>
            <w:tcW w:w="80"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(0.55</w:t>
            </w:r>
          </w:p>
        </w:tc>
        <w:tc>
          <w:tcPr>
            <w:tcW w:w="88" w:type="dxa"/>
            <w:tcBorders/>
            <w:shd w:fill="CCEE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9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(0.13</w:t>
            </w:r>
          </w:p>
        </w:tc>
        <w:tc>
          <w:tcPr>
            <w:tcW w:w="87"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(0.24</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(0.32</w:t>
            </w:r>
          </w:p>
        </w:tc>
        <w:tc>
          <w:tcPr>
            <w:tcW w:w="80"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 w:hAnsi="Times New Roman"/>
                <w:sz w:val="20"/>
              </w:rPr>
            </w:pPr>
            <w:r>
              <w:rPr>
                <w:rFonts w:ascii="Times New Roman" w:hAnsi="Times New Roman"/>
                <w:sz w:val="20"/>
              </w:rPr>
              <w:t>$</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(0.55</w:t>
            </w:r>
          </w:p>
        </w:tc>
        <w:tc>
          <w:tcPr>
            <w:tcW w:w="88" w:type="dxa"/>
            <w:tcBorders/>
            <w:shd w:fill="FFFFFF" w:val="clear"/>
            <w:vAlign w:val="center"/>
          </w:tcPr>
          <w:p>
            <w:pPr>
              <w:pStyle w:val="TableContents"/>
              <w:bidi w:val="0"/>
              <w:spacing w:before="0" w:after="283"/>
              <w:jc w:val="left"/>
              <w:rPr>
                <w:rFonts w:ascii="Times New Roman" w:hAnsi="Times New Roman"/>
                <w:sz w:val="20"/>
              </w:rPr>
            </w:pPr>
            <w:r>
              <w:rPr>
                <w:rFonts w:ascii="Times New Roman" w:hAnsi="Times New Roman"/>
                <w:sz w:val="20"/>
              </w:rPr>
              <w:t>)</w:t>
            </w:r>
          </w:p>
        </w:tc>
      </w:tr>
      <w:tr>
        <w:trPr/>
        <w:tc>
          <w:tcPr>
            <w:tcW w:w="5091" w:type="dxa"/>
            <w:tcBorders/>
            <w:shd w:fill="CCEEFF" w:val="clear"/>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Weighted average number of shares outstanding:</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left"/>
              <w:rPr/>
            </w:pPr>
            <w:r>
              <w:rPr/>
              <w:t> </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0"/>
              <w:ind w:left="0" w:right="0" w:hanging="0"/>
              <w:jc w:val="left"/>
              <w:rPr/>
            </w:pPr>
            <w:r>
              <w:rPr/>
              <w:t> </w:t>
            </w:r>
          </w:p>
        </w:tc>
        <w:tc>
          <w:tcPr>
            <w:tcW w:w="88" w:type="dxa"/>
            <w:tcBorders/>
            <w:shd w:fill="CCEEFF" w:val="clear"/>
            <w:vAlign w:val="center"/>
          </w:tcPr>
          <w:p>
            <w:pPr>
              <w:pStyle w:val="TableContents"/>
              <w:bidi w:val="0"/>
              <w:spacing w:before="0" w:after="0"/>
              <w:ind w:left="0" w:right="0" w:hanging="0"/>
              <w:jc w:val="left"/>
              <w:rPr/>
            </w:pPr>
            <w:r>
              <w:rPr/>
              <w:t> </w:t>
            </w:r>
          </w:p>
        </w:tc>
      </w:tr>
      <w:tr>
        <w:trPr/>
        <w:tc>
          <w:tcPr>
            <w:tcW w:w="5091" w:type="dxa"/>
            <w:tcBorders/>
            <w:shd w:fill="FFFF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Basic</w:t>
            </w:r>
          </w:p>
        </w:tc>
        <w:tc>
          <w:tcPr>
            <w:tcW w:w="60"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31,544,934</w:t>
            </w:r>
          </w:p>
        </w:tc>
        <w:tc>
          <w:tcPr>
            <w:tcW w:w="87"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137" w:type="dxa"/>
            <w:tcBorders/>
            <w:shd w:fill="FFFFFF" w:val="clear"/>
            <w:vAlign w:val="center"/>
          </w:tcPr>
          <w:p>
            <w:pPr>
              <w:pStyle w:val="TableContents"/>
              <w:bidi w:val="0"/>
              <w:spacing w:before="0" w:after="0"/>
              <w:ind w:left="0" w:right="0" w:hanging="0"/>
              <w:jc w:val="left"/>
              <w:rPr/>
            </w:pPr>
            <w:r>
              <w:rPr/>
              <w:t> </w:t>
            </w:r>
          </w:p>
        </w:tc>
        <w:tc>
          <w:tcPr>
            <w:tcW w:w="1052"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24,061,803</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31,464,810</w:t>
            </w:r>
          </w:p>
        </w:tc>
        <w:tc>
          <w:tcPr>
            <w:tcW w:w="8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shd w:fill="FFFFFF" w:val="clear"/>
            <w:vAlign w:val="center"/>
          </w:tcPr>
          <w:p>
            <w:pPr>
              <w:pStyle w:val="TableContents"/>
              <w:bidi w:val="0"/>
              <w:spacing w:before="0" w:after="0"/>
              <w:ind w:left="0" w:right="0" w:hanging="0"/>
              <w:jc w:val="left"/>
              <w:rPr/>
            </w:pPr>
            <w:r>
              <w:rPr/>
              <w:t> </w:t>
            </w:r>
          </w:p>
        </w:tc>
        <w:tc>
          <w:tcPr>
            <w:tcW w:w="953" w:type="dxa"/>
            <w:tcBorders/>
            <w:shd w:fill="FFFF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22,661,951</w:t>
            </w:r>
          </w:p>
        </w:tc>
        <w:tc>
          <w:tcPr>
            <w:tcW w:w="88" w:type="dxa"/>
            <w:tcBorders/>
            <w:shd w:fill="FFFFFF" w:val="clear"/>
            <w:vAlign w:val="center"/>
          </w:tcPr>
          <w:p>
            <w:pPr>
              <w:pStyle w:val="TableContents"/>
              <w:bidi w:val="0"/>
              <w:spacing w:before="0" w:after="0"/>
              <w:ind w:left="0" w:right="0" w:hanging="0"/>
              <w:jc w:val="left"/>
              <w:rPr/>
            </w:pPr>
            <w:r>
              <w:rPr/>
              <w:t> </w:t>
            </w:r>
          </w:p>
        </w:tc>
      </w:tr>
      <w:tr>
        <w:trPr/>
        <w:tc>
          <w:tcPr>
            <w:tcW w:w="5091" w:type="dxa"/>
            <w:tcBorders/>
            <w:shd w:fill="CCEEFF" w:val="clear"/>
            <w:vAlign w:val="center"/>
          </w:tcPr>
          <w:p>
            <w:pPr>
              <w:pStyle w:val="TableContents"/>
              <w:bidi w:val="0"/>
              <w:spacing w:before="0" w:after="0"/>
              <w:ind w:left="180" w:right="0" w:hanging="0"/>
              <w:jc w:val="left"/>
              <w:rPr>
                <w:rFonts w:ascii="Times New Roman" w:hAnsi="Times New Roman"/>
                <w:caps w:val="false"/>
                <w:smallCaps w:val="false"/>
                <w:sz w:val="20"/>
              </w:rPr>
            </w:pPr>
            <w:r>
              <w:rPr>
                <w:rFonts w:ascii="Times New Roman" w:hAnsi="Times New Roman"/>
                <w:caps w:val="false"/>
                <w:smallCaps w:val="false"/>
                <w:sz w:val="20"/>
              </w:rPr>
              <w:t>Diluted</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31,544,934</w:t>
            </w:r>
          </w:p>
        </w:tc>
        <w:tc>
          <w:tcPr>
            <w:tcW w:w="87"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0"/>
              <w:ind w:left="0" w:right="0" w:hanging="0"/>
              <w:jc w:val="left"/>
              <w:rPr/>
            </w:pPr>
            <w:r>
              <w:rPr/>
              <w:t> </w:t>
            </w:r>
          </w:p>
        </w:tc>
        <w:tc>
          <w:tcPr>
            <w:tcW w:w="1052"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24,061,803</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31,464,810</w:t>
            </w:r>
          </w:p>
        </w:tc>
        <w:tc>
          <w:tcPr>
            <w:tcW w:w="80" w:type="dxa"/>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shd w:fill="CCEEFF" w:val="clear"/>
            <w:vAlign w:val="center"/>
          </w:tcPr>
          <w:p>
            <w:pPr>
              <w:pStyle w:val="TableContents"/>
              <w:bidi w:val="0"/>
              <w:spacing w:before="0" w:after="0"/>
              <w:ind w:left="0" w:right="0" w:hanging="0"/>
              <w:jc w:val="left"/>
              <w:rPr/>
            </w:pPr>
            <w:r>
              <w:rPr/>
              <w:t> </w:t>
            </w:r>
          </w:p>
        </w:tc>
        <w:tc>
          <w:tcPr>
            <w:tcW w:w="953" w:type="dxa"/>
            <w:tcBorders/>
            <w:shd w:fill="CCEEFF" w:val="clear"/>
            <w:vAlign w:val="center"/>
          </w:tcPr>
          <w:p>
            <w:pPr>
              <w:pStyle w:val="TableContents"/>
              <w:bidi w:val="0"/>
              <w:spacing w:before="0" w:after="283"/>
              <w:ind w:left="0" w:right="0" w:hanging="0"/>
              <w:jc w:val="right"/>
              <w:rPr>
                <w:rFonts w:ascii="Times New Roman" w:hAnsi="Times New Roman"/>
                <w:sz w:val="20"/>
              </w:rPr>
            </w:pPr>
            <w:r>
              <w:rPr>
                <w:rFonts w:ascii="Times New Roman" w:hAnsi="Times New Roman"/>
                <w:sz w:val="20"/>
              </w:rPr>
              <w:t>22,661,951</w:t>
            </w:r>
          </w:p>
        </w:tc>
        <w:tc>
          <w:tcPr>
            <w:tcW w:w="88" w:type="dxa"/>
            <w:tcBorders/>
            <w:shd w:fill="CCEEFF" w:val="clear"/>
            <w:vAlign w:val="center"/>
          </w:tcPr>
          <w:p>
            <w:pPr>
              <w:pStyle w:val="TableContents"/>
              <w:bidi w:val="0"/>
              <w:spacing w:before="0" w:after="0"/>
              <w:ind w:left="0" w:right="0" w:hanging="0"/>
              <w:jc w:val="left"/>
              <w:rPr/>
            </w:pPr>
            <w:r>
              <w:rPr/>
              <w:t> </w:t>
            </w:r>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91"/>
        <w:gridCol w:w="10014"/>
      </w:tblGrid>
      <w:tr>
        <w:trPr/>
        <w:tc>
          <w:tcPr>
            <w:tcW w:w="19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10014" w:type="dxa"/>
            <w:tcBorders/>
            <w:vAlign w:val="center"/>
          </w:tcPr>
          <w:p>
            <w:pPr>
              <w:pStyle w:val="TableContents"/>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Balance includes gain on the conveyance of the membership interest of Winopoly in January 2026 of $2,352 (refer to Note 12, </w:t>
            </w:r>
            <w:r>
              <w:rPr>
                <w:rFonts w:ascii="Times New Roman;Times;serif" w:hAnsi="Times New Roman;Times;serif"/>
                <w:i/>
                <w:sz w:val="20"/>
              </w:rPr>
              <w:t xml:space="preserve">Divestiture </w:t>
            </w:r>
            <w:r>
              <w:rPr>
                <w:rFonts w:ascii="Times New Roman;Times;serif" w:hAnsi="Times New Roman;Times;serif"/>
                <w:sz w:val="20"/>
              </w:rPr>
              <w:t>in the notes to our consolidated financial statements included in this Form 10-Q).  Balance also includes a $698 write-off of intangibles and related expenses related to the write-off of TAPP Influencers Corp. in May 2025. Additionally, the balance includes compensation expense related to non-compete agreements and earn-out expense incurred as a result of business combinations; earn-out expenses were in the amount of $0 and ($9) for the three months ended June 30, 2026 and 2025, respectively, and $0 and  ($128)  for the  six months ended June 30, 2026 and 2025 , respectively, while non-compete agreements were in the amount of $0 and $412 for the three months ended June 30, 2026 and 2025, respectively, and $0  and $412 for the six months ended June 30, 2026 and 2025, respectively. </w:t>
            </w:r>
          </w:p>
        </w:tc>
      </w:tr>
      <w:tr>
        <w:trPr/>
        <w:tc>
          <w:tcPr>
            <w:tcW w:w="19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1001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Includes a one-time non-media revenue adjustment of ($156) in connection with a settlement with a media partner.</w:t>
            </w:r>
          </w:p>
        </w:tc>
      </w:tr>
    </w:tbl>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We present media margin, media margin as a percentage of revenue, adjusted EBITDA, adjusted net income (loss), and adjusted net income (loss) per share as supplemental measures of our financial and operating performance because we believe they provide useful information to investors. More specifically:</w:t>
      </w:r>
    </w:p>
    <w:p>
      <w:pPr>
        <w:pStyle w:val="TextBody"/>
        <w:bidi w:val="0"/>
        <w:spacing w:before="0" w:after="0"/>
        <w:ind w:left="0" w:right="0" w:hanging="0"/>
        <w:jc w:val="both"/>
        <w:rPr/>
      </w:pPr>
      <w:r>
        <w:rPr/>
        <w:t> </w:t>
      </w:r>
    </w:p>
    <w:p>
      <w:pPr>
        <w:pStyle w:val="TextBody"/>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Media margin, as defined above, is a measure of the efficiency of the Company's operating model. We use media margin and the related measure of media margin as a percentage of revenue as primary metrics to measure the financial return on our media and related costs, specifically to measure the degree by which the revenue generated from our digital marketing services exceeds the cost to attract the consumers to whom offers are made through our services. Media margin is used extensively by our management to manage our operating performance, including evaluating operational performance against budgeted media margin and understanding the efficiency of our media and related expenditures. We also use media margin for performance evaluations and compensation decisions regarding certain personnel.</w:t>
      </w:r>
    </w:p>
    <w:p>
      <w:pPr>
        <w:pStyle w:val="TextBody"/>
        <w:bidi w:val="0"/>
        <w:spacing w:before="0" w:after="0"/>
        <w:ind w:left="0" w:right="0" w:hanging="0"/>
        <w:jc w:val="both"/>
        <w:rPr/>
      </w:pPr>
      <w:r>
        <w:rPr/>
        <w:t> </w:t>
      </w:r>
    </w:p>
    <w:p>
      <w:pPr>
        <w:pStyle w:val="TextBody"/>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Adjusted EBITDA, as defined above, is another primary metric by which we evaluate the operating performance of our business, on which certain operating expenditures and internal budgets are based and by which, in addition to media margin and other factors, our senior management is compensated. The first three adjustments represent the conventional definition of EBITDA, and the remaining adjustments are items recognized and recorded under U.S. GAAP in particular periods but might be viewed as not necessarily coinciding with the underlying business operations for the periods in which they are so recognized and recorded. These adjustments include certain litigation and other related costs associated with legal matters outside the ordinary course of business.</w:t>
      </w:r>
    </w:p>
    <w:p>
      <w:pPr>
        <w:pStyle w:val="TextBody"/>
        <w:bidi w:val="0"/>
        <w:spacing w:before="0" w:after="0"/>
        <w:ind w:left="180" w:right="0" w:hanging="0"/>
        <w:jc w:val="both"/>
        <w:rPr/>
      </w:pPr>
      <w:r>
        <w:rPr/>
        <w:t> </w:t>
      </w:r>
    </w:p>
    <w:p>
      <w:pPr>
        <w:pStyle w:val="TextBody"/>
        <w:bidi w:val="0"/>
        <w:spacing w:before="0" w:after="0"/>
        <w:ind w:left="180" w:right="0" w:hanging="0"/>
        <w:jc w:val="both"/>
        <w:rPr>
          <w:rFonts w:ascii="Times New Roman;Times;serif" w:hAnsi="Times New Roman;Times;serif"/>
          <w:sz w:val="20"/>
        </w:rPr>
      </w:pPr>
      <w:r>
        <w:rPr>
          <w:rFonts w:ascii="Times New Roman;Times;serif" w:hAnsi="Times New Roman;Times;serif"/>
          <w:sz w:val="20"/>
        </w:rPr>
        <w:t>Adjusted net income (loss), as defined above, and the related measure of adjusted net income (loss) per share exclude certain items that are recognized and recorded under U.S. GAAP in particular periods but might be viewed as not necessarily coinciding with the underlying business operations for the periods in which they are so recognized and recorded. We believe adjusted net income (loss) affords investors a different view of the overall financial performance of the Company than adjusted EBITDA and the U.S. GAAP measure of net income (loss).</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Media margin, adjusted EBITDA, adjusted net income (loss), and adjusted net income (loss) per share are non-GAAP financial measures with certain limitations regarding their usefulness. They do not reflect our financial results in accordance with U.S. GAAP, as they do not include the impact of certain expenses that are reflected in our consolidated statements of operations. Accordingly, these metrics are not indicative of our overall results or indicators of past or future financial performance. Further, they are not financial measures of profitability and are neither intended to be used as a proxy for the profitability of our business nor to imply profitability. The way we measure media margin, adjusted EBITDA, and adjusted net income (loss) may not be comparable to similarly titled measures presented by other companies and may not be identical to corresponding measures used in our various agreements.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Comparison of Our Results of Operations for the Three and Six Months Ended June 30, 2026 and 2025</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Revenue</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7808" w:type="dxa"/>
        <w:jc w:val="left"/>
        <w:tblInd w:w="0" w:type="dxa"/>
        <w:tblLayout w:type="fixed"/>
        <w:tblCellMar>
          <w:top w:w="0" w:type="dxa"/>
          <w:left w:w="0" w:type="dxa"/>
          <w:bottom w:w="0" w:type="dxa"/>
          <w:right w:w="0" w:type="dxa"/>
        </w:tblCellMar>
      </w:tblPr>
      <w:tblGrid>
        <w:gridCol w:w="1205"/>
        <w:gridCol w:w="60"/>
        <w:gridCol w:w="171"/>
        <w:gridCol w:w="807"/>
        <w:gridCol w:w="82"/>
        <w:gridCol w:w="82"/>
        <w:gridCol w:w="171"/>
        <w:gridCol w:w="807"/>
        <w:gridCol w:w="82"/>
        <w:gridCol w:w="82"/>
        <w:gridCol w:w="293"/>
        <w:gridCol w:w="612"/>
        <w:gridCol w:w="185"/>
        <w:gridCol w:w="60"/>
        <w:gridCol w:w="150"/>
        <w:gridCol w:w="708"/>
        <w:gridCol w:w="72"/>
        <w:gridCol w:w="72"/>
        <w:gridCol w:w="150"/>
        <w:gridCol w:w="708"/>
        <w:gridCol w:w="72"/>
        <w:gridCol w:w="72"/>
        <w:gridCol w:w="210"/>
        <w:gridCol w:w="650"/>
        <w:gridCol w:w="245"/>
      </w:tblGrid>
      <w:tr>
        <w:trPr/>
        <w:tc>
          <w:tcPr>
            <w:tcW w:w="12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18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6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12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2"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97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2"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85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2"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86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 Change</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w:t>
            </w:r>
          </w:p>
        </w:tc>
        <w:tc>
          <w:tcPr>
            <w:tcW w:w="6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48,449</w:t>
            </w:r>
          </w:p>
        </w:tc>
        <w:tc>
          <w:tcPr>
            <w:tcW w:w="82"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44,706</w:t>
            </w:r>
          </w:p>
        </w:tc>
        <w:tc>
          <w:tcPr>
            <w:tcW w:w="82"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93,301</w:t>
            </w:r>
          </w:p>
        </w:tc>
        <w:tc>
          <w:tcPr>
            <w:tcW w:w="72"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99,916</w:t>
            </w:r>
          </w:p>
        </w:tc>
        <w:tc>
          <w:tcPr>
            <w:tcW w:w="72"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210" w:type="dxa"/>
            <w:tcBorders/>
            <w:shd w:fill="CCEEFF" w:val="clear"/>
            <w:vAlign w:val="center"/>
          </w:tcPr>
          <w:p>
            <w:pPr>
              <w:pStyle w:val="TableContents"/>
              <w:bidi w:val="0"/>
              <w:spacing w:before="0" w:after="0"/>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months ended June 30, 2026 compared to the three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and 2025, revenue was comprised of Commerce Media Solutions of $30.5 million and $16.1 million, owned and operated of $16.3 million and $21.4 million, and other streams of $1.6 million and $7.2 million, respectively. The increase in our Commerce Media Solutions business reflected both the addition of long-term contracts with new media partners signed since the prior year period and growth from existing media partners which in turn drove revenue from advertiser clients in the Media &amp; Entertainment and Retail &amp; Consumer sectors. The decrease in our owned and operated marketplaces revenue was primarily driven by the ongoing strategic transition of our business, as we continue to reallocate resources and advertiser demand to the scaling Commerce Media Solutions. Within our other streams, the decrease was due to the divestiture of our Call Solutions business as of January 31, 2026.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Six months ended June 30, 2026 compared to the six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revenue was comprised of Commerce Media Solutions of $56.4 million and $28.7 million, owned and operated of $32.0 million and $52.5 million, and other streams of $4.9 million and $18.7 million, respectively. These changes were attributable to the same factors as discussed above in the three months ended June 30, 2026 comparison.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Cost of revenue (exclusive of depreciation and amortization)</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903"/>
        <w:gridCol w:w="60"/>
        <w:gridCol w:w="158"/>
        <w:gridCol w:w="749"/>
        <w:gridCol w:w="76"/>
        <w:gridCol w:w="76"/>
        <w:gridCol w:w="158"/>
        <w:gridCol w:w="749"/>
        <w:gridCol w:w="76"/>
        <w:gridCol w:w="76"/>
        <w:gridCol w:w="293"/>
        <w:gridCol w:w="612"/>
        <w:gridCol w:w="185"/>
        <w:gridCol w:w="60"/>
        <w:gridCol w:w="137"/>
        <w:gridCol w:w="649"/>
        <w:gridCol w:w="65"/>
        <w:gridCol w:w="65"/>
        <w:gridCol w:w="137"/>
        <w:gridCol w:w="649"/>
        <w:gridCol w:w="65"/>
        <w:gridCol w:w="65"/>
        <w:gridCol w:w="155"/>
        <w:gridCol w:w="750"/>
        <w:gridCol w:w="237"/>
      </w:tblGrid>
      <w:tr>
        <w:trPr/>
        <w:tc>
          <w:tcPr>
            <w:tcW w:w="390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2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3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37" w:type="dxa"/>
            <w:tcBorders/>
            <w:shd w:fill="FFFFFF" w:val="clear"/>
            <w:vAlign w:val="center"/>
          </w:tcPr>
          <w:p>
            <w:pPr>
              <w:pStyle w:val="TableContents"/>
              <w:bidi w:val="0"/>
              <w:spacing w:before="0" w:after="0"/>
              <w:ind w:left="0" w:right="0" w:hanging="0"/>
              <w:jc w:val="left"/>
              <w:rPr/>
            </w:pPr>
            <w:r>
              <w:rPr/>
              <w:t> </w:t>
            </w:r>
          </w:p>
        </w:tc>
      </w:tr>
      <w:tr>
        <w:trPr/>
        <w:tc>
          <w:tcPr>
            <w:tcW w:w="390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9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907"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5"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78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5"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37" w:type="dxa"/>
            <w:tcBorders/>
            <w:shd w:fill="FFFFFF" w:val="clear"/>
            <w:vAlign w:val="center"/>
          </w:tcPr>
          <w:p>
            <w:pPr>
              <w:pStyle w:val="TableContents"/>
              <w:bidi w:val="0"/>
              <w:spacing w:before="0" w:after="0"/>
              <w:ind w:left="0" w:right="0" w:hanging="0"/>
              <w:jc w:val="left"/>
              <w:rPr/>
            </w:pPr>
            <w:r>
              <w:rPr/>
              <w:t> </w:t>
            </w:r>
          </w:p>
        </w:tc>
      </w:tr>
      <w:tr>
        <w:trPr/>
        <w:tc>
          <w:tcPr>
            <w:tcW w:w="390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revenue (exclusive of 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34,440</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34,426</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69,253</w:t>
            </w:r>
          </w:p>
        </w:tc>
        <w:tc>
          <w:tcPr>
            <w:tcW w:w="65"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78,201</w:t>
            </w:r>
          </w:p>
        </w:tc>
        <w:tc>
          <w:tcPr>
            <w:tcW w:w="65" w:type="dxa"/>
            <w:tcBorders/>
            <w:shd w:fill="CCEEFF" w:val="clear"/>
            <w:vAlign w:val="center"/>
          </w:tcPr>
          <w:p>
            <w:pPr>
              <w:pStyle w:val="TableContents"/>
              <w:bidi w:val="0"/>
              <w:spacing w:before="0" w:after="0"/>
              <w:ind w:left="0" w:right="0" w:hanging="0"/>
              <w:jc w:val="left"/>
              <w:rPr/>
            </w:pPr>
            <w:r>
              <w:rPr/>
              <w:t> </w:t>
            </w:r>
          </w:p>
        </w:tc>
        <w:tc>
          <w:tcPr>
            <w:tcW w:w="65"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3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months ended June 30, 2026 compared to the three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and 2025, cost of revenue (exclusive of depreciation and amortization) consisted of Commerce Media Solutions media and related costs of $22.3 million and $13.2 million, owned and operated media and related costs of $11.7 million and $16.7 million, and media enablement and other indirect costs related to our other revenue streams of $0.4 million and $4.5 million, respectively. Commerce Media Solutions cost of revenue consists of fees and revenue share payments made to media partners for ad inventory on their digital properties, web hosting costs, and fulfillment costs related to incentives earned by consumers. The increase in cost of revenue (exclusive of depreciation and amortization) in Commerce Media Solutions was driven by increased revenue share payments generated from impressions from new media partners added since the prior year period. Cost of revenue (exclusive of depreciation and amortization) for Commerce Media Solutions decreased as a percentage of revenue, due to the improved monetization with certain commerce media partners that do not operate on revenue share agreements. Our owned and operated cost of revenue (exclusive of depreciation and amortization) primarily consists of media and related costs associated with acquiring traffic from third-party publishers, digital media platforms, and influencers for our O&amp;O Sites, fulfillment costs related to rewards earned by consumers, and web hosting costs. The decrease in O&amp;O Sites media cost was largely attributable to the decline in the media acquired for the business following the FTC Consent Order. There was a decrease in cost of revenue as a percentage of revenue driven by increased activity in the related programmatic business that generates revenue without media cost.  The decrease in cost of revenue (exclusive of depreciation and amortization) for other revenue streams, which includes media costs, enablement costs and tracking costs related to our consumer data associated with our call centers, was attributable to the decreased cost of media related to the Call Solutions that was divested on January 31, 2026. Cost of revenue (exclusive of depreciation and amortization) for other revenue streams decreased materially as a percentage of revenue related to the divestiture of Call Solutions.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the total cost of revenue (exclusive of depreciation and amortization) as a percentage of revenue decreased to 71% compared to 77% for the three months ended June 30, 2025. The change was primarily driven by the aforementioned reasons and shifts in revenue mix to Commerce Media Solutions.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Six months ended June 30, 2026 compared to the six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cost of revenue (exclusive of depreciation and amortization) consisted of Commerce Media Solutions media and related costs of $43.2 million and $23.0 million, O&amp;O Sites media and related costs of $24.2 million and $41.5 million, and media enablement and other indirect costs related to our other revenue streams of $1.9 million and $13.7 million, respectively. These changes were attributable to the same factors as discussed above in the three months ended June 30, 2026 comparison.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total cost of revenue (exclusive of depreciation and amortization) as a percentage of revenue decreased to 74% compared to 78% for the six months ended June 30, 2025. These changes were attributable to the same factors as discussed above in the three months ended June 30, 2026 comparison.</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the normal course of executing paid media campaigns to source consumer traffic for our O&amp;O Sites, we regularly evaluate new channels, strategies, and partners. As we perform that evaluation, we may determine that certain sources initially able to provide us profitable quality traffic may not be able to maintain our quality standards over time, and we may need to discontinue, or modify the practices of, such sources, which could reduce profitability further.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Sales and marketing</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7985" w:type="dxa"/>
        <w:jc w:val="left"/>
        <w:tblInd w:w="0" w:type="dxa"/>
        <w:tblLayout w:type="fixed"/>
        <w:tblCellMar>
          <w:top w:w="0" w:type="dxa"/>
          <w:left w:w="0" w:type="dxa"/>
          <w:bottom w:w="0" w:type="dxa"/>
          <w:right w:w="0" w:type="dxa"/>
        </w:tblCellMar>
      </w:tblPr>
      <w:tblGrid>
        <w:gridCol w:w="1655"/>
        <w:gridCol w:w="60"/>
        <w:gridCol w:w="181"/>
        <w:gridCol w:w="703"/>
        <w:gridCol w:w="87"/>
        <w:gridCol w:w="87"/>
        <w:gridCol w:w="181"/>
        <w:gridCol w:w="703"/>
        <w:gridCol w:w="87"/>
        <w:gridCol w:w="87"/>
        <w:gridCol w:w="187"/>
        <w:gridCol w:w="718"/>
        <w:gridCol w:w="185"/>
        <w:gridCol w:w="60"/>
        <w:gridCol w:w="164"/>
        <w:gridCol w:w="637"/>
        <w:gridCol w:w="78"/>
        <w:gridCol w:w="78"/>
        <w:gridCol w:w="164"/>
        <w:gridCol w:w="637"/>
        <w:gridCol w:w="78"/>
        <w:gridCol w:w="78"/>
        <w:gridCol w:w="187"/>
        <w:gridCol w:w="718"/>
        <w:gridCol w:w="185"/>
      </w:tblGrid>
      <w:tr>
        <w:trPr/>
        <w:tc>
          <w:tcPr>
            <w:tcW w:w="165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2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1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65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8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8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8"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8"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65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marketing</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4,777</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3,751</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9,198</w:t>
            </w:r>
          </w:p>
        </w:tc>
        <w:tc>
          <w:tcPr>
            <w:tcW w:w="78"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8,325</w:t>
            </w:r>
          </w:p>
        </w:tc>
        <w:tc>
          <w:tcPr>
            <w:tcW w:w="78"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months ended June 30, 2026 compared to the three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and 2025, sales and marketing expenses consisted mainly of employee salaries and benefits of $3.7 million and $3.1 million, advertising costs of $0.4 million and $0.3 million, and professional fees of $0.2 million and $0.1 million, respectively. The increase was primarily due to higher salaries and other variable employee-related costs driven by improved results during the current quarter related to the CMS business and an increase in advertising costs driven by conferences and seminars expenses to promote Commerce Media Solutions.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Six months ended June 30, 2026 compared to the six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sales and marketing expenses consisted mainly of employee salaries and benefits of $6.9 million and $6.5 million, advertising costs of $0.9 million and $0.6 million, professional fees of $0.5 million and $0.3 million, travel and entertainment costs of $0.3 million and $0.2 million, shared based compensation expense of $0.2 million and $0.1 million, and severance costs of $0.1 million and $0.4 million, respectively. The increase was primarily due to an increase in salaries and benefits driven by variable compensation related to the improved results and higher sales and marketing costs associated with the fees to attend conferences and seminars to promote Commerce Media Solutions, partly offset by a decline in restructuring and severance costs in the current year period.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Product development</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8090" w:type="dxa"/>
        <w:jc w:val="left"/>
        <w:tblInd w:w="0" w:type="dxa"/>
        <w:tblLayout w:type="fixed"/>
        <w:tblCellMar>
          <w:top w:w="0" w:type="dxa"/>
          <w:left w:w="0" w:type="dxa"/>
          <w:bottom w:w="0" w:type="dxa"/>
          <w:right w:w="0" w:type="dxa"/>
        </w:tblCellMar>
      </w:tblPr>
      <w:tblGrid>
        <w:gridCol w:w="1760"/>
        <w:gridCol w:w="60"/>
        <w:gridCol w:w="181"/>
        <w:gridCol w:w="703"/>
        <w:gridCol w:w="87"/>
        <w:gridCol w:w="87"/>
        <w:gridCol w:w="181"/>
        <w:gridCol w:w="703"/>
        <w:gridCol w:w="87"/>
        <w:gridCol w:w="87"/>
        <w:gridCol w:w="187"/>
        <w:gridCol w:w="718"/>
        <w:gridCol w:w="185"/>
        <w:gridCol w:w="60"/>
        <w:gridCol w:w="164"/>
        <w:gridCol w:w="637"/>
        <w:gridCol w:w="78"/>
        <w:gridCol w:w="78"/>
        <w:gridCol w:w="164"/>
        <w:gridCol w:w="637"/>
        <w:gridCol w:w="78"/>
        <w:gridCol w:w="78"/>
        <w:gridCol w:w="187"/>
        <w:gridCol w:w="718"/>
        <w:gridCol w:w="185"/>
      </w:tblGrid>
      <w:tr>
        <w:trPr/>
        <w:tc>
          <w:tcPr>
            <w:tcW w:w="17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2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19"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7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8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8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7" w:type="dxa"/>
            <w:tcBorders/>
            <w:shd w:fill="FFFFFF" w:val="clear"/>
            <w:vAlign w:val="center"/>
          </w:tcPr>
          <w:p>
            <w:pPr>
              <w:pStyle w:val="TableContents"/>
              <w:bidi w:val="0"/>
              <w:spacing w:before="0" w:after="0"/>
              <w:ind w:left="0" w:right="0" w:hanging="0"/>
              <w:jc w:val="left"/>
              <w:rPr/>
            </w:pPr>
            <w:r>
              <w:rPr/>
              <w:t> </w:t>
            </w:r>
          </w:p>
        </w:tc>
        <w:tc>
          <w:tcPr>
            <w:tcW w:w="87"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8"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80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8" w:type="dxa"/>
            <w:tcBorders/>
            <w:shd w:fill="FFFFFF" w:val="clear"/>
            <w:vAlign w:val="center"/>
          </w:tcPr>
          <w:p>
            <w:pPr>
              <w:pStyle w:val="TableContents"/>
              <w:bidi w:val="0"/>
              <w:spacing w:before="0" w:after="0"/>
              <w:ind w:left="0" w:right="0" w:hanging="0"/>
              <w:jc w:val="left"/>
              <w:rPr/>
            </w:pPr>
            <w:r>
              <w:rPr/>
              <w:t> </w:t>
            </w:r>
          </w:p>
        </w:tc>
        <w:tc>
          <w:tcPr>
            <w:tcW w:w="78"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7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Product development</w:t>
            </w:r>
          </w:p>
        </w:tc>
        <w:tc>
          <w:tcPr>
            <w:tcW w:w="60"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3,046</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2,283</w:t>
            </w:r>
          </w:p>
        </w:tc>
        <w:tc>
          <w:tcPr>
            <w:tcW w:w="87" w:type="dxa"/>
            <w:tcBorders/>
            <w:shd w:fill="CCEEFF" w:val="clear"/>
            <w:vAlign w:val="center"/>
          </w:tcPr>
          <w:p>
            <w:pPr>
              <w:pStyle w:val="TableContents"/>
              <w:bidi w:val="0"/>
              <w:spacing w:before="0" w:after="0"/>
              <w:ind w:left="0" w:right="0" w:hanging="0"/>
              <w:jc w:val="left"/>
              <w:rPr/>
            </w:pPr>
            <w:r>
              <w:rPr/>
              <w:t> </w:t>
            </w:r>
          </w:p>
        </w:tc>
        <w:tc>
          <w:tcPr>
            <w:tcW w:w="87"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5,690</w:t>
            </w:r>
          </w:p>
        </w:tc>
        <w:tc>
          <w:tcPr>
            <w:tcW w:w="78"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6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4,983</w:t>
            </w:r>
          </w:p>
        </w:tc>
        <w:tc>
          <w:tcPr>
            <w:tcW w:w="78" w:type="dxa"/>
            <w:tcBorders/>
            <w:shd w:fill="CCEEFF" w:val="clear"/>
            <w:vAlign w:val="center"/>
          </w:tcPr>
          <w:p>
            <w:pPr>
              <w:pStyle w:val="TableContents"/>
              <w:bidi w:val="0"/>
              <w:spacing w:before="0" w:after="0"/>
              <w:ind w:left="0" w:right="0" w:hanging="0"/>
              <w:jc w:val="left"/>
              <w:rPr/>
            </w:pPr>
            <w:r>
              <w:rPr/>
              <w:t> </w:t>
            </w:r>
          </w:p>
        </w:tc>
        <w:tc>
          <w:tcPr>
            <w:tcW w:w="78"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months ended June 30, 2026 compared to the three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and 2025, product development expenses consisted mainly of salaries and benefits of $2.1 million and $1.6 million, software license and maintenance costs of $0.3 million and $0.2 million, professional fees of $0.3 million and $0.3 million, and shared-based compensation expense of $0.1 million and $0.0 million, respectively. The increase was primarily due to an increase in salaries due to an overall increase in headcount, along with higher variable compensation due to the improved results and increased share-based compensation as a result of the new plans.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Six months ended June 30, 2026 compared to the six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product development expenses consisted mainly of salaries and benefits of $3.9 million and $3.4 million, software license and maintenance costs of $0.6 million and $0.5 million, professional fees of $0.4 million and $0.6 million, and shared-based compensation expense of $0.3 million and $0.1 million, respectively. The increase was primarily attributable to the factors discussed above, partly offset by lower spend on IT-related vendors.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General and administrative</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43"/>
        <w:gridCol w:w="60"/>
        <w:gridCol w:w="152"/>
        <w:gridCol w:w="590"/>
        <w:gridCol w:w="72"/>
        <w:gridCol w:w="72"/>
        <w:gridCol w:w="152"/>
        <w:gridCol w:w="590"/>
        <w:gridCol w:w="72"/>
        <w:gridCol w:w="72"/>
        <w:gridCol w:w="293"/>
        <w:gridCol w:w="612"/>
        <w:gridCol w:w="185"/>
        <w:gridCol w:w="60"/>
        <w:gridCol w:w="131"/>
        <w:gridCol w:w="622"/>
        <w:gridCol w:w="63"/>
        <w:gridCol w:w="63"/>
        <w:gridCol w:w="131"/>
        <w:gridCol w:w="622"/>
        <w:gridCol w:w="63"/>
        <w:gridCol w:w="63"/>
        <w:gridCol w:w="155"/>
        <w:gridCol w:w="750"/>
        <w:gridCol w:w="217"/>
      </w:tblGrid>
      <w:tr>
        <w:trPr/>
        <w:tc>
          <w:tcPr>
            <w:tcW w:w="434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7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63"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17" w:type="dxa"/>
            <w:tcBorders/>
            <w:shd w:fill="FFFFFF" w:val="clear"/>
            <w:vAlign w:val="center"/>
          </w:tcPr>
          <w:p>
            <w:pPr>
              <w:pStyle w:val="TableContents"/>
              <w:bidi w:val="0"/>
              <w:spacing w:before="0" w:after="0"/>
              <w:ind w:left="0" w:right="0" w:hanging="0"/>
              <w:jc w:val="left"/>
              <w:rPr/>
            </w:pPr>
            <w:r>
              <w:rPr/>
              <w:t> </w:t>
            </w:r>
          </w:p>
        </w:tc>
      </w:tr>
      <w:tr>
        <w:trPr/>
        <w:tc>
          <w:tcPr>
            <w:tcW w:w="434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7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2"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74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2" w:type="dxa"/>
            <w:tcBorders/>
            <w:shd w:fill="FFFFFF" w:val="clear"/>
            <w:vAlign w:val="center"/>
          </w:tcPr>
          <w:p>
            <w:pPr>
              <w:pStyle w:val="TableContents"/>
              <w:bidi w:val="0"/>
              <w:spacing w:before="0" w:after="0"/>
              <w:ind w:left="0" w:right="0" w:hanging="0"/>
              <w:jc w:val="left"/>
              <w:rPr/>
            </w:pPr>
            <w:r>
              <w:rPr/>
              <w:t> </w:t>
            </w:r>
          </w:p>
        </w:tc>
        <w:tc>
          <w:tcPr>
            <w:tcW w:w="72"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7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63" w:type="dxa"/>
            <w:tcBorders/>
            <w:shd w:fill="FFFFFF" w:val="clear"/>
            <w:vAlign w:val="center"/>
          </w:tcPr>
          <w:p>
            <w:pPr>
              <w:pStyle w:val="TableContents"/>
              <w:bidi w:val="0"/>
              <w:spacing w:before="0" w:after="0"/>
              <w:ind w:left="0" w:right="0" w:hanging="0"/>
              <w:jc w:val="left"/>
              <w:rPr/>
            </w:pPr>
            <w:r>
              <w:rPr/>
              <w:t> </w:t>
            </w:r>
          </w:p>
        </w:tc>
        <w:tc>
          <w:tcPr>
            <w:tcW w:w="63"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17" w:type="dxa"/>
            <w:tcBorders/>
            <w:shd w:fill="FFFFFF" w:val="clear"/>
            <w:vAlign w:val="center"/>
          </w:tcPr>
          <w:p>
            <w:pPr>
              <w:pStyle w:val="TableContents"/>
              <w:bidi w:val="0"/>
              <w:spacing w:before="0" w:after="0"/>
              <w:ind w:left="0" w:right="0" w:hanging="0"/>
              <w:jc w:val="left"/>
              <w:rPr/>
            </w:pPr>
            <w:r>
              <w:rPr/>
              <w:t> </w:t>
            </w:r>
          </w:p>
        </w:tc>
      </w:tr>
      <w:tr>
        <w:trPr/>
        <w:tc>
          <w:tcPr>
            <w:tcW w:w="434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and administrative (including $168 to a related party for the three and six months ended June 30, 2026)</w:t>
            </w:r>
          </w:p>
        </w:tc>
        <w:tc>
          <w:tcPr>
            <w:tcW w:w="60"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9,427</w:t>
            </w:r>
          </w:p>
        </w:tc>
        <w:tc>
          <w:tcPr>
            <w:tcW w:w="72"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8,873</w:t>
            </w:r>
          </w:p>
        </w:tc>
        <w:tc>
          <w:tcPr>
            <w:tcW w:w="72" w:type="dxa"/>
            <w:tcBorders/>
            <w:shd w:fill="CCEEFF" w:val="clear"/>
            <w:vAlign w:val="center"/>
          </w:tcPr>
          <w:p>
            <w:pPr>
              <w:pStyle w:val="TableContents"/>
              <w:bidi w:val="0"/>
              <w:spacing w:before="0" w:after="0"/>
              <w:ind w:left="0" w:right="0" w:hanging="0"/>
              <w:jc w:val="left"/>
              <w:rPr/>
            </w:pPr>
            <w:r>
              <w:rPr/>
              <w:t> </w:t>
            </w:r>
          </w:p>
        </w:tc>
        <w:tc>
          <w:tcPr>
            <w:tcW w:w="72" w:type="dxa"/>
            <w:tcBorders/>
            <w:shd w:fill="CCEEFF" w:val="clear"/>
            <w:vAlign w:val="center"/>
          </w:tcPr>
          <w:p>
            <w:pPr>
              <w:pStyle w:val="TableContents"/>
              <w:bidi w:val="0"/>
              <w:spacing w:before="0" w:after="0"/>
              <w:ind w:left="0" w:right="0" w:hanging="0"/>
              <w:jc w:val="left"/>
              <w:rPr/>
            </w:pPr>
            <w:r>
              <w:rPr/>
              <w:t> </w:t>
            </w:r>
          </w:p>
        </w:tc>
        <w:tc>
          <w:tcPr>
            <w:tcW w:w="293" w:type="dxa"/>
            <w:tcBorders/>
            <w:shd w:fill="CCEEFF" w:val="clear"/>
            <w:vAlign w:val="center"/>
          </w:tcPr>
          <w:p>
            <w:pPr>
              <w:pStyle w:val="TableContents"/>
              <w:bidi w:val="0"/>
              <w:spacing w:before="0" w:after="0"/>
              <w:ind w:left="0" w:right="0" w:hanging="0"/>
              <w:jc w:val="left"/>
              <w:rPr/>
            </w:pPr>
            <w:r>
              <w:rPr/>
              <w:t> </w:t>
            </w:r>
          </w:p>
        </w:tc>
        <w:tc>
          <w:tcPr>
            <w:tcW w:w="61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14,615</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13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17,649</w:t>
            </w:r>
          </w:p>
        </w:tc>
        <w:tc>
          <w:tcPr>
            <w:tcW w:w="63" w:type="dxa"/>
            <w:tcBorders/>
            <w:shd w:fill="CCEEFF" w:val="clear"/>
            <w:vAlign w:val="center"/>
          </w:tcPr>
          <w:p>
            <w:pPr>
              <w:pStyle w:val="TableContents"/>
              <w:bidi w:val="0"/>
              <w:spacing w:before="0" w:after="0"/>
              <w:ind w:left="0" w:right="0" w:hanging="0"/>
              <w:jc w:val="left"/>
              <w:rPr/>
            </w:pPr>
            <w:r>
              <w:rPr/>
              <w:t> </w:t>
            </w:r>
          </w:p>
        </w:tc>
        <w:tc>
          <w:tcPr>
            <w:tcW w:w="63"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w:t>
            </w:r>
          </w:p>
        </w:tc>
        <w:tc>
          <w:tcPr>
            <w:tcW w:w="21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months ended June 30, 2026 compared to the three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and 2025, general and administrative expenses consisted mainly of employee salaries and benefits of $4.2 million and $3.6 million, non-cash share-based compensation expense of $1.3 million and $0.3 million, professional fees of $1.1 million and $1.2 million, software license and maintenance costs of $1.0 million and $0.8 million, office overhead of $0.8 million and $1.2 million, provision for credit losses of $0.5 million and $0.0 million, certain legal costs of ($0.3) million and $0.3 million, and acquisition-related costs of $0.0 million and $1.2 million, respectively. General and administrative expenses increased primarily due to an increase in salaries and benefits due to the re-allocation of higher salary personnel and an increase in variable compensation related to improved results, even as headcount declined, along with an increase in share-based compensation expense due to the entry into a new plans, and an increase in the provision for credit losses related to the Note (as described in Note 1(e)). These increases were partially offset by the decline in rent expense as a result of the new lease entered into in the prior year period along with the prior year acquisition related costs related to the TAPP write-off.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Six months ended June 30, 2026 compared to the six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and 2025, general and administrative expenses consisted mainly of employee salaries and benefits of $7.5 million and $7.1 million, professional fees of $2.4 million and $2.9 million, software license and maintenance costs of $1.8 million and $1.7 million, office overhead of $1.6 million and $2.2 million, non-cash share-based compensation expense of $1.8 million and $0.5 million, provision for credit losses of $0.5 million and $0.0 million, restructuring and severance costs of $0.2 million and $0.8 million, and acquisition-related costs of ($2.4) million and $1.1 million, respectively. General and administrative expenses decreased primarily due to the non-cash gain on the divestiture of Call Solutions in the current year period compared to the write off of TAPP in the prior year period, along with lower overhead fees related to the new lease entered into during the second quarter of 2025 and lower restructuring fees. These declines were partially offset by the factors discussed above.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In each of the first and fourth quarters of 2025, we reduced our workforce by 24 and 9 employees, respectively, to better align resources with our strategic initiatives. In connection with the reductions in the first quarter of 2025, we incurred $1.3 million in exit-related restructuring costs, consisting primarily of one-time termination benefits and associated costs, which were fully settled in cash by March 31, 2026. In connection with the reductions in the fourth quarter of 2025, we incurred $0.1 million in exit-related restructuring costs, consisting primarily of one-time termination benefits and associated costs which were fully settled in cash by December 31, 2025. Apart from these exit-related restructuring costs, these reductions in workforce have resulted in corresponding reductions in future salary and benefits within sales and marketing, product development, and general and administrative expenses.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Depreciation and amortization</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8813" w:type="dxa"/>
        <w:jc w:val="left"/>
        <w:tblInd w:w="0" w:type="dxa"/>
        <w:tblLayout w:type="fixed"/>
        <w:tblCellMar>
          <w:top w:w="0" w:type="dxa"/>
          <w:left w:w="0" w:type="dxa"/>
          <w:bottom w:w="0" w:type="dxa"/>
          <w:right w:w="0" w:type="dxa"/>
        </w:tblCellMar>
      </w:tblPr>
      <w:tblGrid>
        <w:gridCol w:w="2495"/>
        <w:gridCol w:w="60"/>
        <w:gridCol w:w="175"/>
        <w:gridCol w:w="680"/>
        <w:gridCol w:w="84"/>
        <w:gridCol w:w="84"/>
        <w:gridCol w:w="175"/>
        <w:gridCol w:w="680"/>
        <w:gridCol w:w="84"/>
        <w:gridCol w:w="84"/>
        <w:gridCol w:w="155"/>
        <w:gridCol w:w="750"/>
        <w:gridCol w:w="245"/>
        <w:gridCol w:w="60"/>
        <w:gridCol w:w="158"/>
        <w:gridCol w:w="616"/>
        <w:gridCol w:w="76"/>
        <w:gridCol w:w="76"/>
        <w:gridCol w:w="158"/>
        <w:gridCol w:w="616"/>
        <w:gridCol w:w="76"/>
        <w:gridCol w:w="76"/>
        <w:gridCol w:w="155"/>
        <w:gridCol w:w="750"/>
        <w:gridCol w:w="245"/>
      </w:tblGrid>
      <w:tr>
        <w:trPr/>
        <w:tc>
          <w:tcPr>
            <w:tcW w:w="249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51"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5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4"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8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4" w:type="dxa"/>
            <w:tcBorders/>
            <w:shd w:fill="FFFFFF" w:val="clear"/>
            <w:vAlign w:val="center"/>
          </w:tcPr>
          <w:p>
            <w:pPr>
              <w:pStyle w:val="TableContents"/>
              <w:bidi w:val="0"/>
              <w:spacing w:before="0" w:after="0"/>
              <w:ind w:left="0" w:right="0" w:hanging="0"/>
              <w:jc w:val="left"/>
              <w:rPr/>
            </w:pPr>
            <w:r>
              <w:rPr/>
              <w:t> </w:t>
            </w:r>
          </w:p>
        </w:tc>
        <w:tc>
          <w:tcPr>
            <w:tcW w:w="84"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7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1,710</w:t>
            </w:r>
          </w:p>
        </w:tc>
        <w:tc>
          <w:tcPr>
            <w:tcW w:w="84"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7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2,479</w:t>
            </w:r>
          </w:p>
        </w:tc>
        <w:tc>
          <w:tcPr>
            <w:tcW w:w="84" w:type="dxa"/>
            <w:tcBorders/>
            <w:shd w:fill="CCEEFF" w:val="clear"/>
            <w:vAlign w:val="center"/>
          </w:tcPr>
          <w:p>
            <w:pPr>
              <w:pStyle w:val="TableContents"/>
              <w:bidi w:val="0"/>
              <w:spacing w:before="0" w:after="0"/>
              <w:ind w:left="0" w:right="0" w:hanging="0"/>
              <w:jc w:val="left"/>
              <w:rPr/>
            </w:pPr>
            <w:r>
              <w:rPr/>
              <w:t> </w:t>
            </w:r>
          </w:p>
        </w:tc>
        <w:tc>
          <w:tcPr>
            <w:tcW w:w="84"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3,391</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4,940</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and six months ended June 30, 2026 compared to the three and six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decrease in depreciation and amortization costs during the three and six months ended June 30, 2026 was due to the overall decline in intangibles due to cessation or sales of businesses, along with full amortization on certain intangibles since the prior period.</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Interest expense, net</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8034" w:type="dxa"/>
        <w:jc w:val="left"/>
        <w:tblInd w:w="0" w:type="dxa"/>
        <w:tblLayout w:type="fixed"/>
        <w:tblCellMar>
          <w:top w:w="0" w:type="dxa"/>
          <w:left w:w="0" w:type="dxa"/>
          <w:bottom w:w="0" w:type="dxa"/>
          <w:right w:w="0" w:type="dxa"/>
        </w:tblCellMar>
      </w:tblPr>
      <w:tblGrid>
        <w:gridCol w:w="1670"/>
        <w:gridCol w:w="60"/>
        <w:gridCol w:w="225"/>
        <w:gridCol w:w="605"/>
        <w:gridCol w:w="108"/>
        <w:gridCol w:w="108"/>
        <w:gridCol w:w="225"/>
        <w:gridCol w:w="605"/>
        <w:gridCol w:w="108"/>
        <w:gridCol w:w="108"/>
        <w:gridCol w:w="221"/>
        <w:gridCol w:w="684"/>
        <w:gridCol w:w="245"/>
        <w:gridCol w:w="60"/>
        <w:gridCol w:w="158"/>
        <w:gridCol w:w="616"/>
        <w:gridCol w:w="76"/>
        <w:gridCol w:w="76"/>
        <w:gridCol w:w="158"/>
        <w:gridCol w:w="616"/>
        <w:gridCol w:w="76"/>
        <w:gridCol w:w="76"/>
        <w:gridCol w:w="155"/>
        <w:gridCol w:w="750"/>
        <w:gridCol w:w="245"/>
      </w:tblGrid>
      <w:tr>
        <w:trPr/>
        <w:tc>
          <w:tcPr>
            <w:tcW w:w="167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99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5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167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8" w:type="dxa"/>
            <w:tcBorders/>
            <w:shd w:fill="FFFFFF" w:val="clear"/>
            <w:vAlign w:val="center"/>
          </w:tcPr>
          <w:p>
            <w:pPr>
              <w:pStyle w:val="TableContents"/>
              <w:bidi w:val="0"/>
              <w:spacing w:before="0" w:after="0"/>
              <w:ind w:left="0" w:right="0" w:hanging="0"/>
              <w:jc w:val="left"/>
              <w:rPr/>
            </w:pPr>
            <w:r>
              <w:rPr/>
              <w:t> </w:t>
            </w:r>
          </w:p>
        </w:tc>
        <w:tc>
          <w:tcPr>
            <w:tcW w:w="108"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7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77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6" w:type="dxa"/>
            <w:tcBorders/>
            <w:shd w:fill="FFFFFF" w:val="clear"/>
            <w:vAlign w:val="center"/>
          </w:tcPr>
          <w:p>
            <w:pPr>
              <w:pStyle w:val="TableContents"/>
              <w:bidi w:val="0"/>
              <w:spacing w:before="0" w:after="0"/>
              <w:ind w:left="0" w:right="0" w:hanging="0"/>
              <w:jc w:val="left"/>
              <w:rPr/>
            </w:pPr>
            <w:r>
              <w:rPr/>
              <w:t> </w:t>
            </w:r>
          </w:p>
        </w:tc>
        <w:tc>
          <w:tcPr>
            <w:tcW w:w="76"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16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 net</w:t>
            </w:r>
          </w:p>
        </w:tc>
        <w:tc>
          <w:tcPr>
            <w:tcW w:w="60"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w:t>
            </w:r>
          </w:p>
        </w:tc>
        <w:tc>
          <w:tcPr>
            <w:tcW w:w="108" w:type="dxa"/>
            <w:tcBorders/>
            <w:shd w:fill="CCEEFF" w:val="clear"/>
            <w:vAlign w:val="center"/>
          </w:tcPr>
          <w:p>
            <w:pPr>
              <w:pStyle w:val="TableContents"/>
              <w:bidi w:val="0"/>
              <w:spacing w:before="0" w:after="0"/>
              <w:ind w:left="0" w:right="0" w:hanging="0"/>
              <w:jc w:val="left"/>
              <w:rPr/>
            </w:pPr>
            <w:r>
              <w:rPr/>
              <w:t> </w:t>
            </w:r>
          </w:p>
        </w:tc>
        <w:tc>
          <w:tcPr>
            <w:tcW w:w="108" w:type="dxa"/>
            <w:tcBorders/>
            <w:shd w:fill="CCEEFF" w:val="clear"/>
            <w:vAlign w:val="center"/>
          </w:tcPr>
          <w:p>
            <w:pPr>
              <w:pStyle w:val="TableContents"/>
              <w:bidi w:val="0"/>
              <w:spacing w:before="0" w:after="0"/>
              <w:ind w:left="0" w:right="0" w:hanging="0"/>
              <w:jc w:val="left"/>
              <w:rPr/>
            </w:pPr>
            <w:r>
              <w:rPr/>
              <w:t> </w:t>
            </w:r>
          </w:p>
        </w:tc>
        <w:tc>
          <w:tcPr>
            <w:tcW w:w="221" w:type="dxa"/>
            <w:tcBorders/>
            <w:shd w:fill="CCEEFF" w:val="clear"/>
            <w:vAlign w:val="center"/>
          </w:tcPr>
          <w:p>
            <w:pPr>
              <w:pStyle w:val="TableContents"/>
              <w:bidi w:val="0"/>
              <w:spacing w:before="0" w:after="0"/>
              <w:ind w:left="0" w:right="0" w:hanging="0"/>
              <w:jc w:val="left"/>
              <w:rPr/>
            </w:pPr>
            <w:r>
              <w:rPr/>
              <w:t> </w:t>
            </w:r>
          </w:p>
        </w:tc>
        <w:tc>
          <w:tcPr>
            <w:tcW w:w="68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1,582</w:t>
            </w:r>
          </w:p>
        </w:tc>
        <w:tc>
          <w:tcPr>
            <w:tcW w:w="76" w:type="dxa"/>
            <w:tcBorders/>
            <w:shd w:fill="CCEEFF" w:val="clear"/>
            <w:vAlign w:val="center"/>
          </w:tcPr>
          <w:p>
            <w:pPr>
              <w:pStyle w:val="TableContents"/>
              <w:bidi w:val="0"/>
              <w:spacing w:before="0" w:after="0"/>
              <w:ind w:left="0" w:right="0" w:hanging="0"/>
              <w:jc w:val="left"/>
              <w:rPr/>
            </w:pPr>
            <w:r>
              <w:rPr/>
              <w:t> </w:t>
            </w:r>
          </w:p>
        </w:tc>
        <w:tc>
          <w:tcPr>
            <w:tcW w:w="76" w:type="dxa"/>
            <w:tcBorders/>
            <w:shd w:fill="CCEEFF" w:val="clear"/>
            <w:vAlign w:val="center"/>
          </w:tcPr>
          <w:p>
            <w:pPr>
              <w:pStyle w:val="TableContents"/>
              <w:bidi w:val="0"/>
              <w:spacing w:before="0" w:after="0"/>
              <w:ind w:left="0" w:right="0" w:hanging="0"/>
              <w:jc w:val="left"/>
              <w:rPr/>
            </w:pPr>
            <w:r>
              <w:rPr/>
              <w:t> </w:t>
            </w:r>
          </w:p>
        </w:tc>
        <w:tc>
          <w:tcPr>
            <w:tcW w:w="155" w:type="dxa"/>
            <w:tcBorders/>
            <w:shd w:fill="CCEEFF" w:val="clear"/>
            <w:vAlign w:val="center"/>
          </w:tcPr>
          <w:p>
            <w:pPr>
              <w:pStyle w:val="TableContents"/>
              <w:bidi w:val="0"/>
              <w:spacing w:before="0" w:after="0"/>
              <w:ind w:left="0" w:right="0" w:hanging="0"/>
              <w:jc w:val="left"/>
              <w:rPr/>
            </w:pPr>
            <w:r>
              <w:rPr/>
              <w:t> </w:t>
            </w:r>
          </w:p>
        </w:tc>
        <w:tc>
          <w:tcPr>
            <w:tcW w:w="7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and six months ended June 30, 2026 compared to the three and six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decrease in interest expense during the three and six months ended June 30, 2026 was driven by lower average outstanding balances in our debt as well as lower amortization fees associated with the Financing Agreement (as defined herein).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Fair value adjustment of Convertible Notes with related parties</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383"/>
        <w:gridCol w:w="60"/>
        <w:gridCol w:w="171"/>
        <w:gridCol w:w="618"/>
        <w:gridCol w:w="82"/>
        <w:gridCol w:w="82"/>
        <w:gridCol w:w="171"/>
        <w:gridCol w:w="462"/>
        <w:gridCol w:w="82"/>
        <w:gridCol w:w="82"/>
        <w:gridCol w:w="119"/>
        <w:gridCol w:w="786"/>
        <w:gridCol w:w="234"/>
        <w:gridCol w:w="60"/>
        <w:gridCol w:w="149"/>
        <w:gridCol w:w="655"/>
        <w:gridCol w:w="95"/>
        <w:gridCol w:w="71"/>
        <w:gridCol w:w="149"/>
        <w:gridCol w:w="402"/>
        <w:gridCol w:w="71"/>
        <w:gridCol w:w="71"/>
        <w:gridCol w:w="119"/>
        <w:gridCol w:w="786"/>
        <w:gridCol w:w="245"/>
      </w:tblGrid>
      <w:tr>
        <w:trPr/>
        <w:tc>
          <w:tcPr>
            <w:tcW w:w="4383"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3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568"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4383"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78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2"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63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2" w:type="dxa"/>
            <w:tcBorders/>
            <w:shd w:fill="FFFFFF" w:val="clear"/>
            <w:vAlign w:val="center"/>
          </w:tcPr>
          <w:p>
            <w:pPr>
              <w:pStyle w:val="TableContents"/>
              <w:bidi w:val="0"/>
              <w:spacing w:before="0" w:after="0"/>
              <w:ind w:left="0" w:right="0" w:hanging="0"/>
              <w:jc w:val="left"/>
              <w:rPr/>
            </w:pPr>
            <w:r>
              <w:rPr/>
              <w:t> </w:t>
            </w:r>
          </w:p>
        </w:tc>
        <w:tc>
          <w:tcPr>
            <w:tcW w:w="82"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34"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0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5"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55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71" w:type="dxa"/>
            <w:tcBorders/>
            <w:shd w:fill="FFFFFF" w:val="clear"/>
            <w:vAlign w:val="center"/>
          </w:tcPr>
          <w:p>
            <w:pPr>
              <w:pStyle w:val="TableContents"/>
              <w:bidi w:val="0"/>
              <w:spacing w:before="0" w:after="0"/>
              <w:ind w:left="0" w:right="0" w:hanging="0"/>
              <w:jc w:val="left"/>
              <w:rPr/>
            </w:pPr>
            <w:r>
              <w:rPr/>
              <w:t> </w:t>
            </w:r>
          </w:p>
        </w:tc>
        <w:tc>
          <w:tcPr>
            <w:tcW w:w="71"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0"/>
              <w:ind w:left="0" w:right="0" w:hanging="0"/>
              <w:jc w:val="left"/>
              <w:rPr/>
            </w:pPr>
            <w:r>
              <w:rPr/>
              <w:t> </w:t>
            </w:r>
          </w:p>
        </w:tc>
      </w:tr>
      <w:tr>
        <w:trPr/>
        <w:tc>
          <w:tcPr>
            <w:tcW w:w="4383"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adjustment of Convertible Notes with related parties</w:t>
            </w:r>
          </w:p>
        </w:tc>
        <w:tc>
          <w:tcPr>
            <w:tcW w:w="60"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(584)</w:t>
            </w:r>
          </w:p>
        </w:tc>
        <w:tc>
          <w:tcPr>
            <w:tcW w:w="82"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6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478</w:t>
            </w:r>
          </w:p>
        </w:tc>
        <w:tc>
          <w:tcPr>
            <w:tcW w:w="82" w:type="dxa"/>
            <w:tcBorders/>
            <w:shd w:fill="CCEEFF" w:val="clear"/>
            <w:vAlign w:val="center"/>
          </w:tcPr>
          <w:p>
            <w:pPr>
              <w:pStyle w:val="TableContents"/>
              <w:bidi w:val="0"/>
              <w:spacing w:before="0" w:after="0"/>
              <w:ind w:left="0" w:right="0" w:hanging="0"/>
              <w:jc w:val="left"/>
              <w:rPr/>
            </w:pPr>
            <w:r>
              <w:rPr/>
              <w:t> </w:t>
            </w:r>
          </w:p>
        </w:tc>
        <w:tc>
          <w:tcPr>
            <w:tcW w:w="82"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(222</w:t>
            </w:r>
          </w:p>
        </w:tc>
        <w:tc>
          <w:tcPr>
            <w:tcW w:w="234"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(1,421</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1" w:type="dxa"/>
            <w:tcBorders/>
            <w:shd w:fill="CCEEFF" w:val="clear"/>
            <w:vAlign w:val="center"/>
          </w:tcPr>
          <w:p>
            <w:pPr>
              <w:pStyle w:val="TableContents"/>
              <w:bidi w:val="0"/>
              <w:spacing w:before="0" w:after="0"/>
              <w:ind w:left="0" w:right="0" w:hanging="0"/>
              <w:jc w:val="left"/>
              <w:rPr/>
            </w:pPr>
            <w:r>
              <w:rPr/>
              <w:t> </w:t>
            </w:r>
          </w:p>
        </w:tc>
        <w:tc>
          <w:tcPr>
            <w:tcW w:w="14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71" w:type="dxa"/>
            <w:tcBorders/>
            <w:shd w:fill="CCEEFF" w:val="clear"/>
            <w:vAlign w:val="center"/>
          </w:tcPr>
          <w:p>
            <w:pPr>
              <w:pStyle w:val="TableContents"/>
              <w:bidi w:val="0"/>
              <w:spacing w:before="0" w:after="0"/>
              <w:ind w:left="0" w:right="0" w:hanging="0"/>
              <w:jc w:val="left"/>
              <w:rPr/>
            </w:pPr>
            <w:r>
              <w:rPr/>
              <w:t> </w:t>
            </w:r>
          </w:p>
        </w:tc>
        <w:tc>
          <w:tcPr>
            <w:tcW w:w="71"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and six months ended June 30, 2026 compared to the three and six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change in the fair value adjustment of Convertible Notes with related parties during the three and six months ended June 30, 2026 was driven by the fair value calculation inputs, including discount rate and stock price.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Loss before income taxes</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8492" w:type="dxa"/>
        <w:jc w:val="left"/>
        <w:tblInd w:w="0" w:type="dxa"/>
        <w:tblLayout w:type="fixed"/>
        <w:tblCellMar>
          <w:top w:w="0" w:type="dxa"/>
          <w:left w:w="0" w:type="dxa"/>
          <w:bottom w:w="0" w:type="dxa"/>
          <w:right w:w="0" w:type="dxa"/>
        </w:tblCellMar>
      </w:tblPr>
      <w:tblGrid>
        <w:gridCol w:w="2060"/>
        <w:gridCol w:w="60"/>
        <w:gridCol w:w="166"/>
        <w:gridCol w:w="724"/>
        <w:gridCol w:w="106"/>
        <w:gridCol w:w="79"/>
        <w:gridCol w:w="166"/>
        <w:gridCol w:w="724"/>
        <w:gridCol w:w="106"/>
        <w:gridCol w:w="79"/>
        <w:gridCol w:w="187"/>
        <w:gridCol w:w="718"/>
        <w:gridCol w:w="185"/>
        <w:gridCol w:w="60"/>
        <w:gridCol w:w="135"/>
        <w:gridCol w:w="705"/>
        <w:gridCol w:w="86"/>
        <w:gridCol w:w="65"/>
        <w:gridCol w:w="135"/>
        <w:gridCol w:w="705"/>
        <w:gridCol w:w="86"/>
        <w:gridCol w:w="65"/>
        <w:gridCol w:w="187"/>
        <w:gridCol w:w="718"/>
        <w:gridCol w:w="185"/>
      </w:tblGrid>
      <w:tr>
        <w:trPr/>
        <w:tc>
          <w:tcPr>
            <w:tcW w:w="20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8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0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6"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6"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6"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6"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0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before income taxes</w:t>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(6,172</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(7,330</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(11,523</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(15,366</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months ended June 30, 2026 compared to the three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decrease in loss before income taxes of $1.2 million was a result of the factors discussed above.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Six months ended June 30, 2026 compared to the six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decrease in loss before income taxes of $3.8 million was a result of the factors discussed above.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Income tax benefit (expense)</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8316" w:type="dxa"/>
        <w:jc w:val="left"/>
        <w:tblInd w:w="0" w:type="dxa"/>
        <w:tblLayout w:type="fixed"/>
        <w:tblCellMar>
          <w:top w:w="0" w:type="dxa"/>
          <w:left w:w="0" w:type="dxa"/>
          <w:bottom w:w="0" w:type="dxa"/>
          <w:right w:w="0" w:type="dxa"/>
        </w:tblCellMar>
      </w:tblPr>
      <w:tblGrid>
        <w:gridCol w:w="2360"/>
        <w:gridCol w:w="60"/>
        <w:gridCol w:w="208"/>
        <w:gridCol w:w="408"/>
        <w:gridCol w:w="99"/>
        <w:gridCol w:w="99"/>
        <w:gridCol w:w="208"/>
        <w:gridCol w:w="557"/>
        <w:gridCol w:w="99"/>
        <w:gridCol w:w="99"/>
        <w:gridCol w:w="119"/>
        <w:gridCol w:w="786"/>
        <w:gridCol w:w="245"/>
        <w:gridCol w:w="60"/>
        <w:gridCol w:w="205"/>
        <w:gridCol w:w="303"/>
        <w:gridCol w:w="131"/>
        <w:gridCol w:w="98"/>
        <w:gridCol w:w="205"/>
        <w:gridCol w:w="648"/>
        <w:gridCol w:w="131"/>
        <w:gridCol w:w="98"/>
        <w:gridCol w:w="187"/>
        <w:gridCol w:w="718"/>
        <w:gridCol w:w="185"/>
      </w:tblGrid>
      <w:tr>
        <w:trPr/>
        <w:tc>
          <w:tcPr>
            <w:tcW w:w="2360"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68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2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724"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616"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99"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7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99" w:type="dxa"/>
            <w:tcBorders/>
            <w:shd w:fill="FFFFFF" w:val="clear"/>
            <w:vAlign w:val="center"/>
          </w:tcPr>
          <w:p>
            <w:pPr>
              <w:pStyle w:val="TableContents"/>
              <w:bidi w:val="0"/>
              <w:spacing w:before="0" w:after="0"/>
              <w:ind w:left="0" w:right="0" w:hanging="0"/>
              <w:jc w:val="left"/>
              <w:rPr/>
            </w:pPr>
            <w:r>
              <w:rPr/>
              <w:t> </w:t>
            </w:r>
          </w:p>
        </w:tc>
        <w:tc>
          <w:tcPr>
            <w:tcW w:w="99"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24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508"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31"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853"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31" w:type="dxa"/>
            <w:tcBorders/>
            <w:shd w:fill="FFFFFF" w:val="clear"/>
            <w:vAlign w:val="center"/>
          </w:tcPr>
          <w:p>
            <w:pPr>
              <w:pStyle w:val="TableContents"/>
              <w:bidi w:val="0"/>
              <w:spacing w:before="0" w:after="0"/>
              <w:ind w:left="0" w:right="0" w:hanging="0"/>
              <w:jc w:val="left"/>
              <w:rPr/>
            </w:pPr>
            <w:r>
              <w:rPr/>
              <w:t> </w:t>
            </w:r>
          </w:p>
        </w:tc>
        <w:tc>
          <w:tcPr>
            <w:tcW w:w="98"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(expense) benefit</w:t>
            </w:r>
          </w:p>
        </w:tc>
        <w:tc>
          <w:tcPr>
            <w:tcW w:w="60"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0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99"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20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w:t>
            </w:r>
          </w:p>
        </w:tc>
        <w:tc>
          <w:tcPr>
            <w:tcW w:w="99" w:type="dxa"/>
            <w:tcBorders/>
            <w:shd w:fill="CCEEFF" w:val="clear"/>
            <w:vAlign w:val="center"/>
          </w:tcPr>
          <w:p>
            <w:pPr>
              <w:pStyle w:val="TableContents"/>
              <w:bidi w:val="0"/>
              <w:spacing w:before="0" w:after="0"/>
              <w:ind w:left="0" w:right="0" w:hanging="0"/>
              <w:jc w:val="left"/>
              <w:rPr/>
            </w:pPr>
            <w:r>
              <w:rPr/>
              <w:t> </w:t>
            </w:r>
          </w:p>
        </w:tc>
        <w:tc>
          <w:tcPr>
            <w:tcW w:w="99" w:type="dxa"/>
            <w:tcBorders/>
            <w:shd w:fill="CCEEFF" w:val="clear"/>
            <w:vAlign w:val="center"/>
          </w:tcPr>
          <w:p>
            <w:pPr>
              <w:pStyle w:val="TableContents"/>
              <w:bidi w:val="0"/>
              <w:spacing w:before="0" w:after="0"/>
              <w:ind w:left="0" w:right="0" w:hanging="0"/>
              <w:jc w:val="left"/>
              <w:rPr/>
            </w:pPr>
            <w:r>
              <w:rPr/>
              <w:t> </w:t>
            </w:r>
          </w:p>
        </w:tc>
        <w:tc>
          <w:tcPr>
            <w:tcW w:w="119" w:type="dxa"/>
            <w:tcBorders/>
            <w:shd w:fill="CCEEFF" w:val="clear"/>
            <w:vAlign w:val="center"/>
          </w:tcPr>
          <w:p>
            <w:pPr>
              <w:pStyle w:val="TableContents"/>
              <w:bidi w:val="0"/>
              <w:spacing w:before="0" w:after="0"/>
              <w:ind w:left="0" w:right="0" w:hanging="0"/>
              <w:jc w:val="left"/>
              <w:rPr/>
            </w:pPr>
            <w:r>
              <w:rPr/>
              <w:t> </w:t>
            </w:r>
          </w:p>
        </w:tc>
        <w:tc>
          <w:tcPr>
            <w:tcW w:w="78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30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0"/>
              <w:ind w:left="0" w:right="0" w:hanging="0"/>
              <w:jc w:val="left"/>
              <w:rPr/>
            </w:pPr>
            <w:r>
              <w:rPr/>
              <w:t> </w:t>
            </w:r>
          </w:p>
        </w:tc>
        <w:tc>
          <w:tcPr>
            <w:tcW w:w="2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131"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98"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months ended June 30, 2026 compared to the three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three months ended June 30, 2026, the effective income tax rate of 0.1% differed from the statutory federal income tax rate of 21% primarily due to state and local tax expense and losses for which no tax benefit is recognized as such amounts are fully offset with a valuation allowance. For the three months ended June 30, 2025, the Company's effective income tax rate of 1.4% differed from the statutory federal income tax rate of 21% primarily due to state and local tax expense and losses for which no tax benefit is recognized as such amounts are fully offset with a valuation allowance. </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Six months ended June 30, 2026 compared to the six months ended June 30, 2025</w:t>
      </w:r>
      <w:r>
        <w:rPr>
          <w:rFonts w:ascii="Times New Roman;Times;serif" w:hAnsi="Times New Roman;Times;serif"/>
          <w:sz w:val="20"/>
        </w:rPr>
        <w:t xml:space="preserve">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For the six months ended June 30, 2026, the effective income tax rate of 0.1% differed from the statutory federal income tax rate of 21% primarily due to state and local tax expense and losses for which no tax benefit is recognized as such amounts are fully offset with a valuation allowance. For the six months ended June 30, 2025, the Company's effective income tax rate of 0.8% differed from the statutory federal income tax rate of 21% primarily due to state and local tax expense and losses for which no tax benefit is recognized as such amounts are fully offset with a valuation allowance.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and 2025, we recorded full valuation allowances against our U.S. net deferred tax assets. We intend to continue maintaining a full valuation allowance on our U.S. net deferred tax assets until there is sufficient evidence to support the release of all or some portion of the allowance. Release of some or all of the valuation allowance would result in the recognition of certain deferred tax assets and an increase in deferred tax benefit for any period in which such a release may be recorded; however, the exact timing and amount of any valuation allowance release are subject to change depending upon the level of profitability that the Company is able to achieve and the net deferred tax assets available.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color w:val="000000"/>
          <w:sz w:val="20"/>
        </w:rPr>
        <w:t>Net loss</w:t>
      </w:r>
      <w:r>
        <w:rPr>
          <w:rFonts w:ascii="Times New Roman;Times;serif" w:hAnsi="Times New Roman;Times;serif"/>
          <w:color w:val="000000"/>
          <w:sz w:val="20"/>
        </w:rPr>
        <w:t> </w:t>
      </w:r>
      <w:r>
        <w:rPr>
          <w:rFonts w:ascii="Times New Roman;Times;serif" w:hAnsi="Times New Roman;Times;serif"/>
          <w:sz w:val="20"/>
        </w:rPr>
        <w:t xml:space="preserve"> </w:t>
      </w:r>
    </w:p>
    <w:p>
      <w:pPr>
        <w:pStyle w:val="TextBody"/>
        <w:bidi w:val="0"/>
        <w:spacing w:before="0" w:after="0"/>
        <w:ind w:left="0" w:right="0" w:hanging="0"/>
        <w:jc w:val="left"/>
        <w:rPr/>
      </w:pPr>
      <w:r>
        <w:rPr/>
        <w:t> </w:t>
      </w:r>
    </w:p>
    <w:tbl>
      <w:tblPr>
        <w:tblW w:w="7637" w:type="dxa"/>
        <w:jc w:val="left"/>
        <w:tblInd w:w="0" w:type="dxa"/>
        <w:tblLayout w:type="fixed"/>
        <w:tblCellMar>
          <w:top w:w="0" w:type="dxa"/>
          <w:left w:w="0" w:type="dxa"/>
          <w:bottom w:w="0" w:type="dxa"/>
          <w:right w:w="0" w:type="dxa"/>
        </w:tblCellMar>
      </w:tblPr>
      <w:tblGrid>
        <w:gridCol w:w="1205"/>
        <w:gridCol w:w="60"/>
        <w:gridCol w:w="166"/>
        <w:gridCol w:w="724"/>
        <w:gridCol w:w="106"/>
        <w:gridCol w:w="79"/>
        <w:gridCol w:w="166"/>
        <w:gridCol w:w="724"/>
        <w:gridCol w:w="106"/>
        <w:gridCol w:w="79"/>
        <w:gridCol w:w="187"/>
        <w:gridCol w:w="718"/>
        <w:gridCol w:w="185"/>
        <w:gridCol w:w="60"/>
        <w:gridCol w:w="135"/>
        <w:gridCol w:w="705"/>
        <w:gridCol w:w="86"/>
        <w:gridCol w:w="65"/>
        <w:gridCol w:w="135"/>
        <w:gridCol w:w="705"/>
        <w:gridCol w:w="86"/>
        <w:gridCol w:w="65"/>
        <w:gridCol w:w="187"/>
        <w:gridCol w:w="718"/>
        <w:gridCol w:w="185"/>
      </w:tblGrid>
      <w:tr>
        <w:trPr/>
        <w:tc>
          <w:tcPr>
            <w:tcW w:w="120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3055"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Three Months Ended June 30,</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288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Six Months Ended June 30,</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205" w:type="dxa"/>
            <w:tcBorders/>
            <w:shd w:fill="FFFF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(In thousands)</w:t>
            </w:r>
          </w:p>
        </w:tc>
        <w:tc>
          <w:tcPr>
            <w:tcW w:w="60" w:type="dxa"/>
            <w:tcBorders/>
            <w:shd w:fill="FFFFFF" w:val="clear"/>
            <w:vAlign w:val="center"/>
          </w:tcPr>
          <w:p>
            <w:pPr>
              <w:pStyle w:val="TableContents"/>
              <w:bidi w:val="0"/>
              <w:spacing w:before="0" w:after="0"/>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106"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106" w:type="dxa"/>
            <w:tcBorders/>
            <w:shd w:fill="FFFFFF" w:val="clear"/>
            <w:vAlign w:val="center"/>
          </w:tcPr>
          <w:p>
            <w:pPr>
              <w:pStyle w:val="TableContents"/>
              <w:bidi w:val="0"/>
              <w:spacing w:before="0" w:after="0"/>
              <w:ind w:left="0" w:right="0" w:hanging="0"/>
              <w:jc w:val="left"/>
              <w:rPr/>
            </w:pPr>
            <w:r>
              <w:rPr/>
              <w:t> </w:t>
            </w:r>
          </w:p>
        </w:tc>
        <w:tc>
          <w:tcPr>
            <w:tcW w:w="79"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8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2026</w:t>
            </w:r>
          </w:p>
        </w:tc>
        <w:tc>
          <w:tcPr>
            <w:tcW w:w="86"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8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2025</w:t>
            </w:r>
          </w:p>
        </w:tc>
        <w:tc>
          <w:tcPr>
            <w:tcW w:w="86" w:type="dxa"/>
            <w:tcBorders/>
            <w:shd w:fill="FFFFFF" w:val="clear"/>
            <w:vAlign w:val="center"/>
          </w:tcPr>
          <w:p>
            <w:pPr>
              <w:pStyle w:val="TableContents"/>
              <w:bidi w:val="0"/>
              <w:spacing w:before="0" w:after="0"/>
              <w:ind w:left="0" w:right="0" w:hanging="0"/>
              <w:jc w:val="left"/>
              <w:rPr/>
            </w:pPr>
            <w:r>
              <w:rPr/>
              <w:t> </w:t>
            </w:r>
          </w:p>
        </w:tc>
        <w:tc>
          <w:tcPr>
            <w:tcW w:w="65" w:type="dxa"/>
            <w:tcBorders/>
            <w:shd w:fill="FFFFFF" w:val="clear"/>
            <w:vAlign w:val="center"/>
          </w:tcPr>
          <w:p>
            <w:pPr>
              <w:pStyle w:val="TableContents"/>
              <w:bidi w:val="0"/>
              <w:spacing w:before="0" w:after="0"/>
              <w:ind w:left="0" w:right="0" w:hanging="0"/>
              <w:jc w:val="left"/>
              <w:rPr/>
            </w:pPr>
            <w:r>
              <w:rPr/>
              <w:t> </w:t>
            </w:r>
          </w:p>
        </w:tc>
        <w:tc>
          <w:tcPr>
            <w:tcW w:w="9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 Change</w:t>
            </w:r>
          </w:p>
        </w:tc>
        <w:tc>
          <w:tcPr>
            <w:tcW w:w="185" w:type="dxa"/>
            <w:tcBorders/>
            <w:shd w:fill="FFFFFF" w:val="clear"/>
            <w:vAlign w:val="center"/>
          </w:tcPr>
          <w:p>
            <w:pPr>
              <w:pStyle w:val="TableContents"/>
              <w:bidi w:val="0"/>
              <w:spacing w:before="0" w:after="0"/>
              <w:ind w:left="0" w:right="0" w:hanging="0"/>
              <w:jc w:val="left"/>
              <w:rPr/>
            </w:pPr>
            <w:r>
              <w:rPr/>
              <w:t> </w:t>
            </w:r>
          </w:p>
        </w:tc>
      </w:tr>
      <w:tr>
        <w:trPr/>
        <w:tc>
          <w:tcPr>
            <w:tcW w:w="120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(6,177</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0"/>
              <w:ind w:left="0" w:right="0" w:hanging="0"/>
              <w:jc w:val="left"/>
              <w:rPr/>
            </w:pPr>
            <w:r>
              <w:rPr/>
              <w:t> </w:t>
            </w:r>
          </w:p>
        </w:tc>
        <w:tc>
          <w:tcPr>
            <w:tcW w:w="16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(7,223</w:t>
            </w:r>
          </w:p>
        </w:tc>
        <w:tc>
          <w:tcPr>
            <w:tcW w:w="10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9"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(11,531</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(15,492</w:t>
            </w:r>
          </w:p>
        </w:tc>
        <w:tc>
          <w:tcPr>
            <w:tcW w:w="86"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0"/>
              <w:ind w:left="0" w:right="0" w:hanging="0"/>
              <w:jc w:val="left"/>
              <w:rPr/>
            </w:pPr>
            <w:r>
              <w:rPr/>
              <w:t> </w:t>
            </w:r>
          </w:p>
        </w:tc>
        <w:tc>
          <w:tcPr>
            <w:tcW w:w="187" w:type="dxa"/>
            <w:tcBorders/>
            <w:shd w:fill="CCEEFF" w:val="clear"/>
            <w:vAlign w:val="center"/>
          </w:tcPr>
          <w:p>
            <w:pPr>
              <w:pStyle w:val="TableContents"/>
              <w:bidi w:val="0"/>
              <w:spacing w:before="0" w:after="0"/>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i/>
          <w:sz w:val="20"/>
        </w:rPr>
        <w:t>Three months ended June 30, 2026 compared to the three months ended June 30, 2025</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three months ended June 30, 2026 and 2025, </w:t>
      </w:r>
      <w:r>
        <w:rPr>
          <w:rFonts w:ascii="Times New Roman;Times;serif" w:hAnsi="Times New Roman;Times;serif"/>
          <w:color w:val="000000"/>
          <w:sz w:val="20"/>
        </w:rPr>
        <w:t>net loss was </w:t>
      </w:r>
      <w:r>
        <w:rPr>
          <w:rFonts w:ascii="Times New Roman;Times;serif" w:hAnsi="Times New Roman;Times;serif"/>
          <w:sz w:val="20"/>
        </w:rPr>
        <w:t> $6.2 million and $7.2 million, respectively, as a result of the factors discussed above.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Six months ended June 30, 2026 compared to the six months ended June 30, 2025</w:t>
      </w:r>
      <w:r>
        <w:rPr>
          <w:rFonts w:ascii="Times New Roman;Times;serif" w:hAnsi="Times New Roman;Times;serif"/>
          <w:sz w:val="20"/>
        </w:rPr>
        <w:t xml:space="preserve">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For the six months ended June 30, 2026 and 2025, </w:t>
      </w:r>
      <w:r>
        <w:rPr>
          <w:rFonts w:ascii="Times New Roman;Times;serif" w:hAnsi="Times New Roman;Times;serif"/>
          <w:color w:val="000000"/>
          <w:sz w:val="20"/>
        </w:rPr>
        <w:t>net loss was</w:t>
      </w:r>
      <w:r>
        <w:rPr>
          <w:rFonts w:ascii="Times New Roman;Times;serif" w:hAnsi="Times New Roman;Times;serif"/>
          <w:sz w:val="20"/>
        </w:rPr>
        <w:t> $11.5 million and $15.5 million, respectively, as a result of the factors discussed above.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Liquidity and Capital Resources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Cash provided by operating activities</w:t>
      </w:r>
      <w:r>
        <w:rPr>
          <w:rFonts w:ascii="Times New Roman;Times;serif" w:hAnsi="Times New Roman;Times;serif"/>
          <w:b/>
          <w:sz w:val="20"/>
        </w:rPr>
        <w:t>.</w:t>
      </w:r>
      <w:r>
        <w:rPr>
          <w:rFonts w:ascii="Times New Roman;Times;serif" w:hAnsi="Times New Roman;Times;serif"/>
          <w:sz w:val="20"/>
        </w:rPr>
        <w:t xml:space="preserve"> For the six months ended June 30, 2026, net cash provided by operating activities was $0.3 million, compared to net cash provided by operating activities of $3.0 million for the six months ended June 30, 2025. Net loss in the current year period of $11.5 million represents an improvement of $4.0 million, compared with net loss of $15.5 million in the prior period. Adjustments to reconcile net loss to net cash provided by operating activities of $5.9 million in the current year period decreased by $0.4 million, compared with net cash provided by operating activities of $6.3 million in the prior period. The decrease was primarily due to a $2.4 million non-cash gain on divestiture in the current year,  lower depreciation and amortization and prior year non-cash loss on an asset write-off where there were none this year, partly offset by the increased share-based compensation expense and change in fair value adjustment of Convertible Notes with related parties of $1.8 million. Changes in assets and liabilities generated cash of $5.9 million in the current year period, compared with generated cash of $12.3 million in the prior period, primarily due to ordinary-course changes in working capital, largely involving the timing of receipt of amounts owing from clients and disbursements of amounts payable to vendors.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Cash used in investing activities</w:t>
      </w:r>
      <w:r>
        <w:rPr>
          <w:rFonts w:ascii="Times New Roman;Times;serif" w:hAnsi="Times New Roman;Times;serif"/>
          <w:b/>
          <w:sz w:val="20"/>
        </w:rPr>
        <w:t>.</w:t>
      </w:r>
      <w:r>
        <w:rPr>
          <w:rFonts w:ascii="Times New Roman;Times;serif" w:hAnsi="Times New Roman;Times;serif"/>
          <w:sz w:val="20"/>
        </w:rPr>
        <w:t xml:space="preserve"> For the six months ended June 30, 2026 and 2025, net cash used in investing activities was $3.0 million and $3.2 million, respectively. The change was primarily due to payments received on the note receivable related to the Winopoly divestiture in the current year period.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b/>
          <w:i/>
          <w:sz w:val="20"/>
        </w:rPr>
        <w:t>Cash used in financing activities. </w:t>
      </w:r>
      <w:r>
        <w:rPr>
          <w:rFonts w:ascii="Times New Roman;Times;serif" w:hAnsi="Times New Roman;Times;serif"/>
          <w:sz w:val="20"/>
        </w:rPr>
        <w:t xml:space="preserve"> For the six months ended June 30, 2026, net cash used in financing activities was $3.4 million, compared to $3.2 million for the six months ended June 30, 2025. This was mainly due to the net repayments of $3.4 million on the Financing Agreement in the current year, compared to the net repayments of $12.0 million on the term loan and revolving credit facility entered into on April 2, 2024 with Crystal Financial LLC d/b/a SLR Credit Solutions, as administrative agent (the "SLR Credit Facility"), partly offset by proceeds received in the prior year period from the issuance of pre-funded and common stock warrants.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we had noncancelable operating lease commitments of $3.1 million and debt with a $30.1 million principal balance.</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of June 30, 2026, we had cash, cash equivalents, and restricted cash of $7.6 million, a decrease of $6.0 million from $13.6 million as of December 31,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Going concern</w:t>
      </w:r>
      <w:r>
        <w:rPr>
          <w:rFonts w:ascii="Times New Roman" w:hAnsi="Times New Roman"/>
          <w:i/>
          <w:caps w:val="false"/>
          <w:smallCaps w:val="false"/>
          <w:sz w:val="20"/>
        </w:rPr>
        <w:t> </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 the difficulties in sourcing traffic for our O&amp;O Sites, we shifted our strategic focus toward scaling our Commerce Media Solutions business. Commerce Media Solutions has demonstrated growth and operates under a different economic model that reduces exposure to certain media sourcing risks. However, it continues to represent an evolving component of our business and the continued success of the Commerce Media Solutions transition depends on our ability to continue to onboard and retain media partners, achieve favorable economics under long-term agreements, and maintain advertiser demand, of which there can be no assurance.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Since entering into the Financing Agreement (as defined and discussed below), we have continued to receive advances, as needed, on our eligible account receivables. However, the facility remains uncommitted, with the advances typically due within 120-days, leading to its classification as short-term. Although Bay View (as defined herein) has indicated in writing its intention, absent an event of default, to continue purchasing eligible receivables in the ordinary course, and has made advances since the facility was entered into, such funding remains subject to the discretion of Bay View and the terms and conditions of the Financing Agreement. If availability under the facility were reduced or if Bay View were to cease advances, we could have insufficient funds to support our operations and meet our obligations as they come due unless we found another lender or purchaser of our receivables. Based upon the foregoing, management concluded that there is substantial doubt about our ability to continue as a going concern.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Based on our forecast, management expects to have sufficient liquidity over the next 12 months from the date of filing. Although, we have achieved or overperformed against our forecasts over the trailing three quarters, we did not meet our forecasts, at times, over the prior three years and any substantial deviations from such forecasts could adversely affect our liquidity and ability to access funding.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In addition, we completed our procedures as it relates to the At-The-Market Issuance Sales Agreement (the “ATM Agreement”), which will allow us to offer and sell up to $11.2 million shares of our common stock. Our ability to raise capital under this program, or through other financing sources, is subject to market conditions and other factors and may be limited or unavailable at acceptable terms, if at all. </w:t>
      </w:r>
    </w:p>
    <w:p>
      <w:pPr>
        <w:pStyle w:val="TextBody"/>
        <w:bidi w:val="0"/>
        <w:spacing w:before="0" w:after="0"/>
        <w:ind w:left="16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Although management believes its current plans will be sufficient and we will maintain access to the Bay View facility, there is no guarantee such plans will be successful or have the expected benefit. As such, management has concluded that there is substantial doubt about our ability to continue as a going concern for one year after the date of issuance of this Quarterly Report on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i/>
          <w:caps w:val="false"/>
          <w:smallCaps w:val="false"/>
          <w:sz w:val="20"/>
        </w:rPr>
        <w:t>Capital resources and cash requirements</w:t>
      </w:r>
      <w:r>
        <w:rPr>
          <w:rFonts w:ascii="Times New Roman" w:hAnsi="Times New Roman"/>
          <w:caps w:val="false"/>
          <w:smallCaps w:val="false"/>
          <w:sz w:val="20"/>
        </w:rPr>
        <w:t xml:space="preserve">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sources of capital include cash on hand, cash from operations to the extent available and borrowings from the Financing Agreement (as defined below) to the extent available. We have no other committed sources of capital.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xml:space="preserve">Our material cash requirements from known contractual and other obligations consist of our Financing Agreement and obligations under operating leases for office space. For more information regarding our Financing Agreement, refer to Note 4, </w:t>
      </w:r>
      <w:r>
        <w:rPr>
          <w:rFonts w:ascii="Times New Roman" w:hAnsi="Times New Roman"/>
          <w:i/>
          <w:caps w:val="false"/>
          <w:smallCaps w:val="false"/>
          <w:sz w:val="20"/>
        </w:rPr>
        <w:t>Debt, net</w:t>
      </w:r>
      <w:r>
        <w:rPr>
          <w:rFonts w:ascii="Times New Roman" w:hAnsi="Times New Roman"/>
          <w:caps w:val="false"/>
          <w:smallCaps w:val="false"/>
          <w:sz w:val="20"/>
        </w:rPr>
        <w:t>, in the notes to our consolidated financial statements included in this Form 10-Q.</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Our future cash requirements will depend on many factors, including employee-related expenditures from expansion of our headcount, costs to support the growth in our client and partner accounts and continued client expansion, the timing and extent of spending to support product development efforts, the expansion of sales and marketing activities, the introduction of new and enhanced solutions, features, and functionality, and litigation. We may, in the future, enter into arrangements to acquire or invest in complementary businesses, services, technologies, and intellectual property rights. In order to finance such acquisitions or investments, it may be necessary for us to raise additional funds through public or private financings or draw upon our facility. In the past, we have been able to secure funding from our officers, directors and the largest stockholder of our Company and have entered into an At-the-Market Issuance Sales Agreement to offer and sell our shares of common stock. However, if we do not meet the conditions to draw on the facility, or additional financing is not accessible from outside sources, we may not be able to raise additional capital on terms acceptable to us, or at all. If we are unable to raise additional capital when desired, our business, results of operations, and financial condition would be adversely affected.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Financing Agreement</w:t>
      </w:r>
      <w:r>
        <w:rPr>
          <w:rFonts w:ascii="Times New Roman" w:hAnsi="Times New Roman"/>
          <w:caps w:val="false"/>
          <w:smallCaps w:val="false"/>
          <w:sz w:val="2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On November 25, 2025, the Company, and its affiliates Fluent, LLC, Fluent Media Labs, LLC and AdParlor, LLC, each a wholly owned subsidiary of the Company (together with the Company, the "Borrower"), entered into an Accounts Receivable Finance Agreement (the "Financing Agreement") with CSNK Working Capital Finance Corp. d/b/a Bay View Funding ("Bay View"), a portion of the proceeds of which were used to repay and terminate the Company's prior credit facility.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Under the Financing Agreement, Bay View may extend financing to the Company based on eligible domestic and foreign accounts receivable, provided that the amount of advances thereon shall not exceed the lesser of  a maximum credit of $30 million (the “Maximum Credit”) or an amount equal to the sum of all advances less any funds received by Bay View pursuant to the Financing Agreement over the collection amounts adjusted for fees that is maintained in a reserve account. All collections of the financed receivables go directly to Bay View and are applied to the Company’s obligations.  The transfer of the receivables was recorded as secured borrowings in accordance with ASC 860, Transfers and Servicing (“ASC 860”), with the receivables remaining on the balance sheet as a current asset.  As of June 30, 2026, the Financing Agreement had a balance of $27.5 million, which was recorded within current liabilities as the underlying receivables are typically due within 120-days and Bay View may require repayment of amounts outstanding beyond that period. In addition, the Company had $0.2 million in its reserve accounts with Bay View as of June 30, 2026, which was recorded within prepaids and other current assets. The net unused advance as of June 30, 2026 was $2.6 million.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Financing Agreement has an initial term of 36 months (the "Initial Term") and renews automatically for additional 12-month periods unless terminated in accordance with its terms. The Company is required to pay a facility fee in the amount of 0.50% of the Maximum Credit as of November 25, 2025 and then annually a 0.33% of the Maximum Credit as well as a finance charge based on prime plus 2.0% based on the average balance outstanding during the month. In addition, the Company will be required to pay certain administrative fees. The finance rate shall increase or decrease monthly but not be less than 8.75% for the first year from the initial funding date, 8.50% for the second year of the Initial Term and 8.25% for the third year of the Initial Term. As of June 30, 2026, the finance charge rate was 11.75%. The total cost of the Financing Agreement for the six months ended June 30, 2026 was $1.3 million, and was included in interest expense on the consolidated statements of operations. In addition, amortization of the debt discount for the six months ended June 30, 2026 was $0.2 million, and was included in interest expense on the consolidated statements of operations.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Company’s obligations under the Financing Agreement are secured by a security interest in substantially all of the Company’s assets.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Financing Agreement contains customary representations, warranties, covenants and events of default, including repurchase obligations with respect to certain receivables.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Critical Accounting Estimates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Management's discussion and analysis of financial condition and results of operations are based upon our consolidated financial statements, which have been prepared in accordance with U.S. GAAP. The preparation of these consolidated financial statements requires us to make certain estimates and judgments that affect the reported amounts of assets, liabilities, revenues and expenses, and related disclosure of contingent assets and liabilities. On an ongoing basis, we evaluate our estimates, including those related to revenue recognition, recoverability of the carrying amounts of intangible assets, fair value of Convertible Notes, share-based compensation, income taxes, and contingencies. We base our estimates on historical experience and on various other assumptions that are believed to be reasonable under the circumstances, the results of which form the basis for making judgments about the carrying values of assets and liabilities that are not readily apparent from other sources. Actual results may differ from these estimates under different assumptions or conditions.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 xml:space="preserve">Further details of the Company's accounting policies are available in Item 1, Financial Statements, Note 1, </w:t>
      </w:r>
      <w:r>
        <w:rPr>
          <w:rFonts w:ascii="Times New Roman;Times;serif" w:hAnsi="Times New Roman;Times;serif"/>
          <w:i/>
          <w:sz w:val="20"/>
        </w:rPr>
        <w:t>Summary of significant accounting policies</w:t>
      </w:r>
      <w:r>
        <w:rPr>
          <w:rFonts w:ascii="Times New Roman;Times;serif" w:hAnsi="Times New Roman;Times;serif"/>
          <w:sz w:val="20"/>
        </w:rPr>
        <w:t>, to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For additional information, please refer to our 2025 Form 10-K. There have been no additional material changes to Critical Accounting Estimates disclosed in the 2025 Form 10-K.</w:t>
      </w:r>
    </w:p>
    <w:p>
      <w:pPr>
        <w:pStyle w:val="TextBody"/>
        <w:bidi w:val="0"/>
        <w:spacing w:before="0" w:after="283"/>
        <w:jc w:val="left"/>
        <w:rPr/>
      </w:pPr>
      <w:r>
        <w:rPr/>
        <w:t xml:space="preserve">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Recently issued and adopted accounting standards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See Note 1(b), "</w:t>
      </w:r>
      <w:r>
        <w:rPr>
          <w:rFonts w:ascii="Times New Roman;Times;serif" w:hAnsi="Times New Roman;Times;serif"/>
          <w:i/>
          <w:sz w:val="20"/>
        </w:rPr>
        <w:t>Recently issued and adopted accounting standards,"</w:t>
      </w:r>
      <w:r>
        <w:rPr>
          <w:rFonts w:ascii="Times New Roman;Times;serif" w:hAnsi="Times New Roman;Times;serif"/>
          <w:sz w:val="20"/>
        </w:rPr>
        <w:t xml:space="preserve"> in the notes to the consolidated financial statements included elsewhere in this Quarterly Report on Form 10-Q.</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11" w:name="item3"/>
      <w:bookmarkEnd w:id="11"/>
      <w:r>
        <w:rPr>
          <w:rFonts w:ascii="Times New Roman;Times;serif" w:hAnsi="Times New Roman;Times;serif"/>
          <w:b/>
          <w:sz w:val="20"/>
        </w:rPr>
        <w:t>Item 3. Quantitative and Qualitative Disclosures About Market Risk.</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As a smaller reporting company, the Company is not required to provide the information required by this Item.</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20"/>
        </w:rPr>
      </w:pPr>
      <w:bookmarkStart w:id="12" w:name="item4"/>
      <w:bookmarkEnd w:id="12"/>
      <w:r>
        <w:rPr>
          <w:rFonts w:ascii="Times New Roman;Times;serif" w:hAnsi="Times New Roman;Times;serif"/>
          <w:b/>
          <w:sz w:val="20"/>
        </w:rPr>
        <w:t>Item 4. Controls and Procedures.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Evaluation of Disclosure Controls and Procedures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 Company's management, with the participation of the Company's Chief Executive Officer and Chief Financial Officer, evaluated the effectiveness of our disclosure controls and procedures (as defined in Rules 13a-15(e) and 15d-15(e) under the Exchange Act) as of June 30, 2026. We maintain disclosure controls and procedures that are designed to provide reasonable assurance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 Our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Based on the evaluation of disclosure controls and procedures (as defined in Rules 13a-15(e) and 15d-15(e) under the Exchange Act), the Company's Chief Executive Officer and Chief Financial Officer evaluated the effectiveness of the Company's disclosure controls and procedures as of June 30, 2026 and concluded they were effective as of that date.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b/>
          <w:sz w:val="20"/>
        </w:rPr>
        <w:t>Changes in Internal Control Over Financial Reporting</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were no changes to our internal control over financial reporting during the quarter ended June 30, 2026 that have materially affected, or are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13" w:name="part2"/>
      <w:bookmarkEnd w:id="13"/>
      <w:r>
        <w:rPr>
          <w:rFonts w:ascii="Times New Roman;Times;serif" w:hAnsi="Times New Roman;Times;serif"/>
          <w:b/>
          <w:sz w:val="20"/>
        </w:rPr>
        <w:t>PART II - OTHER INFORMATION</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bookmarkStart w:id="14" w:name="anchor-2item1"/>
      <w:bookmarkEnd w:id="14"/>
      <w:r>
        <w:rPr>
          <w:rFonts w:ascii="Times New Roman;Times;serif" w:hAnsi="Times New Roman;Times;serif"/>
          <w:b/>
          <w:sz w:val="20"/>
        </w:rPr>
        <w:t>Item 1. Legal Proceedings.</w:t>
      </w:r>
      <w:r>
        <w:rPr>
          <w:rFonts w:ascii="Times New Roman;Times;serif" w:hAnsi="Times New Roman;Times;serif"/>
          <w:sz w:val="20"/>
        </w:rPr>
        <w:t xml:space="preserve">  </w:t>
      </w:r>
    </w:p>
    <w:p>
      <w:pPr>
        <w:pStyle w:val="TextBody"/>
        <w:bidi w:val="0"/>
        <w:spacing w:before="0" w:after="0"/>
        <w:ind w:left="16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From time to time, we may be subject to litigation and claims arising in the ordinary course of business. We are not currently a party to any material legal proceedings, and we are not aware of any pending or threatened legal proceedings against us that we believe could have a material adverse effect on our business, operating results, cash flows, or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15" w:name="anchor-2item1a"/>
      <w:bookmarkEnd w:id="15"/>
      <w:r>
        <w:rPr>
          <w:rFonts w:ascii="Times New Roman;Times;serif" w:hAnsi="Times New Roman;Times;serif"/>
          <w:b/>
          <w:sz w:val="20"/>
        </w:rPr>
        <w:t>Item 1A. Risk Factors.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Our business, financial condition, results of operations, and cash flows may be impacted by a number of factors, many of which are beyond our control, including those set forth in our 2025 Form 10-K, the occurrence of any one of which could have a material adverse effect on our actual results.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Times;serif" w:hAnsi="Times New Roman;Times;serif"/>
          <w:sz w:val="20"/>
        </w:rPr>
      </w:pPr>
      <w:r>
        <w:rPr>
          <w:rFonts w:ascii="Times New Roman;Times;serif" w:hAnsi="Times New Roman;Times;serif"/>
          <w:sz w:val="20"/>
        </w:rPr>
        <w:t>There have been no material changes to the risk factors previously disclosed in our 2025 Form 10-K as updated and supplemented by our Quarterly Reports on Form 10-Q.</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bookmarkStart w:id="16" w:name="anchor-2item2"/>
      <w:bookmarkEnd w:id="16"/>
      <w:r>
        <w:rPr>
          <w:rFonts w:ascii="Times New Roman" w:hAnsi="Times New Roman"/>
          <w:b/>
          <w:caps w:val="false"/>
          <w:smallCaps w:val="false"/>
          <w:sz w:val="20"/>
        </w:rPr>
        <w:t>Item 2. Unregistered Sales of Equity Securities and Use of Proceeds.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firstLine="18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bookmarkStart w:id="17" w:name="anchor-2item3"/>
      <w:bookmarkEnd w:id="17"/>
      <w:r>
        <w:rPr>
          <w:rFonts w:ascii="Times New Roman" w:hAnsi="Times New Roman"/>
          <w:b/>
          <w:caps w:val="false"/>
          <w:smallCaps w:val="false"/>
          <w:sz w:val="20"/>
        </w:rPr>
        <w:t>Item 3. Defaults Upon Senior Securities.</w:t>
      </w:r>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None.</w:t>
      </w:r>
    </w:p>
    <w:p>
      <w:pPr>
        <w:pStyle w:val="TextBody"/>
        <w:bidi w:val="0"/>
        <w:spacing w:before="0" w:after="0"/>
        <w:ind w:left="0" w:right="0" w:hanging="0"/>
        <w:jc w:val="left"/>
        <w:rPr/>
      </w:pPr>
      <w:bookmarkStart w:id="18" w:name="anchor-2item5"/>
      <w:bookmarkEnd w:id="18"/>
      <w:r>
        <w:rPr>
          <w:rFonts w:ascii="Times New Roman;Times;serif" w:hAnsi="Times New Roman;Times;serif"/>
          <w:b/>
          <w:sz w:val="20"/>
        </w:rPr>
        <w:t xml:space="preserve">Item </w:t>
      </w:r>
      <w:r>
        <w:rPr>
          <w:rStyle w:val="Emphasis"/>
          <w:rFonts w:ascii="Times New Roman;Times;serif" w:hAnsi="Times New Roman;Times;serif"/>
          <w:b/>
          <w:sz w:val="20"/>
        </w:rPr>
        <w:t>5.</w:t>
      </w:r>
      <w:r>
        <w:rPr>
          <w:rFonts w:ascii="Times New Roman;Times;serif" w:hAnsi="Times New Roman;Times;serif"/>
          <w:b/>
          <w:sz w:val="20"/>
        </w:rPr>
        <w:t xml:space="preserve"> Other Information.</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Times New Roman;Times;serif" w:hAnsi="Times New Roman;Times;serif"/>
          <w:b/>
          <w:i/>
          <w:sz w:val="20"/>
        </w:rPr>
        <w:t xml:space="preserve">Rule </w:t>
      </w:r>
      <w:r>
        <w:rPr>
          <w:rStyle w:val="Emphasis"/>
          <w:rFonts w:ascii="Times New Roman;Times;serif" w:hAnsi="Times New Roman;Times;serif"/>
          <w:b/>
          <w:i/>
          <w:sz w:val="20"/>
        </w:rPr>
        <w:t>10b5</w:t>
      </w:r>
      <w:r>
        <w:rPr>
          <w:rFonts w:ascii="Times New Roman;Times;serif" w:hAnsi="Times New Roman;Times;serif"/>
          <w:b/>
          <w:i/>
          <w:sz w:val="20"/>
        </w:rPr>
        <w:t>-</w:t>
      </w:r>
      <w:r>
        <w:rPr>
          <w:rStyle w:val="Emphasis"/>
          <w:rFonts w:ascii="Times New Roman;Times;serif" w:hAnsi="Times New Roman;Times;serif"/>
          <w:b/>
          <w:i/>
          <w:sz w:val="20"/>
        </w:rPr>
        <w:t>1</w:t>
      </w:r>
      <w:r>
        <w:rPr>
          <w:rFonts w:ascii="Times New Roman;Times;serif" w:hAnsi="Times New Roman;Times;serif"/>
          <w:b/>
          <w:i/>
          <w:sz w:val="20"/>
        </w:rPr>
        <w:t xml:space="preserve"> Trading Plans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both"/>
        <w:rPr/>
      </w:pPr>
      <w:r>
        <w:rPr>
          <w:rFonts w:ascii="Times New Roman" w:hAnsi="Times New Roman"/>
          <w:caps w:val="false"/>
          <w:smallCaps w:val="false"/>
          <w:sz w:val="20"/>
        </w:rPr>
        <w:t>During the fiscal quarter ended </w:t>
      </w:r>
      <w:r>
        <w:rPr>
          <w:rStyle w:val="Emphasis"/>
          <w:rFonts w:ascii="Times New Roman" w:hAnsi="Times New Roman"/>
          <w:caps w:val="false"/>
          <w:smallCaps w:val="false"/>
          <w:sz w:val="20"/>
        </w:rPr>
        <w:t xml:space="preserve"> June 30, 2026</w:t>
      </w:r>
      <w:r>
        <w:rPr>
          <w:rFonts w:ascii="Times New Roman" w:hAnsi="Times New Roman"/>
          <w:caps w:val="false"/>
          <w:smallCaps w:val="false"/>
          <w:sz w:val="20"/>
        </w:rPr>
        <w:t xml:space="preserve">, none of the Company's directors or executive officers adopted or terminated any contract, instruction or written plan for the purchase or sale of Company securities that was intended to satisfy the affirmative defense conditions of 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(c) or any "non-Rule </w:t>
      </w:r>
      <w:r>
        <w:rPr>
          <w:rStyle w:val="Emphasis"/>
          <w:rFonts w:ascii="Times New Roman" w:hAnsi="Times New Roman"/>
          <w:caps w:val="false"/>
          <w:smallCaps w:val="false"/>
          <w:sz w:val="20"/>
        </w:rPr>
        <w:t>10b5</w:t>
      </w:r>
      <w:r>
        <w:rPr>
          <w:rFonts w:ascii="Times New Roman" w:hAnsi="Times New Roman"/>
          <w:caps w:val="false"/>
          <w:smallCaps w:val="false"/>
          <w:sz w:val="20"/>
        </w:rPr>
        <w:t>-</w:t>
      </w:r>
      <w:r>
        <w:rPr>
          <w:rStyle w:val="Emphasis"/>
          <w:rFonts w:ascii="Times New Roman" w:hAnsi="Times New Roman"/>
          <w:caps w:val="false"/>
          <w:smallCaps w:val="false"/>
          <w:sz w:val="20"/>
        </w:rPr>
        <w:t>1</w:t>
      </w:r>
      <w:r>
        <w:rPr>
          <w:rFonts w:ascii="Times New Roman" w:hAnsi="Times New Roman"/>
          <w:caps w:val="false"/>
          <w:smallCaps w:val="false"/>
          <w:sz w:val="20"/>
        </w:rPr>
        <w:t xml:space="preserve"> trading arrangement."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bookmarkStart w:id="19" w:name="anchor-2item6"/>
      <w:bookmarkEnd w:id="19"/>
      <w:r>
        <w:rPr>
          <w:rFonts w:ascii="Times New Roman;Times;serif" w:hAnsi="Times New Roman;Times;serif"/>
          <w:b/>
          <w:sz w:val="20"/>
        </w:rPr>
        <w:t>Item 6. Exhibits.</w:t>
      </w:r>
      <w:r>
        <w:rPr>
          <w:rFonts w:ascii="Times New Roman;Times;serif" w:hAnsi="Times New Roman;Times;serif"/>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following exhibits are filed as part of, or incorporated by reference into, this Quarterly Report on Form 10-Q.</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871"/>
        <w:gridCol w:w="60"/>
        <w:gridCol w:w="6228"/>
        <w:gridCol w:w="60"/>
        <w:gridCol w:w="507"/>
        <w:gridCol w:w="60"/>
        <w:gridCol w:w="659"/>
        <w:gridCol w:w="60"/>
        <w:gridCol w:w="836"/>
        <w:gridCol w:w="60"/>
        <w:gridCol w:w="804"/>
      </w:tblGrid>
      <w:tr>
        <w:trPr/>
        <w:tc>
          <w:tcPr>
            <w:tcW w:w="871" w:type="dxa"/>
            <w:tcBorders>
              <w:bottom w:val="single" w:sz="2" w:space="0" w:color="000000"/>
            </w:tcBorders>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bottom w:val="single" w:sz="2" w:space="0" w:color="000000"/>
            </w:tcBorders>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2122" w:type="dxa"/>
            <w:gridSpan w:val="5"/>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Incorporated by Reference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Filed</w:t>
            </w:r>
          </w:p>
        </w:tc>
      </w:tr>
      <w:tr>
        <w:trPr/>
        <w:tc>
          <w:tcPr>
            <w:tcW w:w="871"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No.</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bottom w:val="single" w:sz="2" w:space="0" w:color="000000"/>
            </w:tcBorders>
            <w:vAlign w:val="center"/>
          </w:tcPr>
          <w:p>
            <w:pPr>
              <w:pStyle w:val="TableContents"/>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Exhibit Description</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Exhibit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Filing Date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bottom w:val="single" w:sz="2" w:space="0" w:color="000000"/>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Herewith</w:t>
            </w:r>
          </w:p>
        </w:tc>
      </w:tr>
      <w:tr>
        <w:trPr/>
        <w:tc>
          <w:tcPr>
            <w:tcW w:w="87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hyperlink r:id="rId2">
              <w:r>
                <w:rPr>
                  <w:rStyle w:val="InternetLink"/>
                  <w:rFonts w:ascii="Times New Roman" w:hAnsi="Times New Roman"/>
                  <w:caps w:val="false"/>
                  <w:smallCaps w:val="false"/>
                  <w:sz w:val="20"/>
                  <w:u w:val="single"/>
                </w:rPr>
                <w:t>Certificate of Domestication</w:t>
              </w:r>
            </w:hyperlink>
            <w:r>
              <w:rPr>
                <w:rFonts w:ascii="Times New Roman" w:hAnsi="Times New Roman"/>
                <w:caps w:val="false"/>
                <w:smallCaps w:val="false"/>
                <w:sz w:val="20"/>
              </w:rPr>
              <w:t>.</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3/26/2015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hyperlink r:id="rId3">
              <w:r>
                <w:rPr>
                  <w:rStyle w:val="InternetLink"/>
                  <w:rFonts w:ascii="Times New Roman" w:hAnsi="Times New Roman"/>
                  <w:caps w:val="false"/>
                  <w:smallCaps w:val="false"/>
                  <w:sz w:val="20"/>
                  <w:u w:val="single"/>
                </w:rPr>
                <w:t>Certificate of Incorporation.</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3/26/2015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hyperlink r:id="rId4">
              <w:r>
                <w:rPr>
                  <w:rStyle w:val="InternetLink"/>
                  <w:rFonts w:ascii="Times New Roman" w:hAnsi="Times New Roman"/>
                  <w:caps w:val="false"/>
                  <w:smallCaps w:val="false"/>
                  <w:sz w:val="20"/>
                  <w:u w:val="single"/>
                </w:rPr>
                <w:t>Certificate of Amendment to the Certificate of Incorporation.</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9/26/2016</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hyperlink r:id="rId5">
              <w:r>
                <w:rPr>
                  <w:rStyle w:val="InternetLink"/>
                  <w:rFonts w:ascii="Times New Roman" w:hAnsi="Times New Roman"/>
                  <w:caps w:val="false"/>
                  <w:smallCaps w:val="false"/>
                  <w:sz w:val="20"/>
                  <w:u w:val="single"/>
                </w:rPr>
                <w:t>Certificate of Amendment to the Certificate of Incorporation.</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4/16/2018</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hyperlink r:id="rId6">
              <w:r>
                <w:rPr>
                  <w:rStyle w:val="InternetLink"/>
                  <w:rFonts w:ascii="Times New Roman" w:hAnsi="Times New Roman"/>
                  <w:caps w:val="false"/>
                  <w:smallCaps w:val="false"/>
                  <w:sz w:val="20"/>
                  <w:u w:val="single"/>
                </w:rPr>
                <w:t>Certificate of Amendment to the Certificate of Incorporation of Fluent, Inc. effective April 11, 2024.</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4/12/2024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3.6</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hyperlink r:id="rId7">
              <w:r>
                <w:rPr>
                  <w:rStyle w:val="InternetLink"/>
                  <w:rFonts w:ascii="Times New Roman" w:hAnsi="Times New Roman"/>
                  <w:caps w:val="false"/>
                  <w:smallCaps w:val="false"/>
                  <w:sz w:val="20"/>
                  <w:u w:val="single"/>
                </w:rPr>
                <w:t>Amended and Restated Bylaws.</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8-K</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2/19/2019</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jc w:val="left"/>
              <w:rPr/>
            </w:pPr>
            <w:r>
              <w:rPr/>
              <w:t xml:space="preserve">10.1+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283"/>
              <w:ind w:left="0" w:right="0" w:hanging="0"/>
              <w:jc w:val="left"/>
              <w:rPr/>
            </w:pPr>
            <w:hyperlink w:anchor="ex_980229.htm">
              <w:r>
                <w:rPr>
                  <w:rStyle w:val="InternetLink"/>
                </w:rPr>
                <w:t>Form of Restricted Stock Unit Award Grant Notice (2022 Omnibus Equity Incentive Plan)</w:t>
              </w:r>
            </w:hyperlink>
            <w:r>
              <w:rPr/>
              <w:t xml:space="preserve">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r>
      <w:tr>
        <w:trPr/>
        <w:tc>
          <w:tcPr>
            <w:tcW w:w="871"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left"/>
              <w:rPr/>
            </w:pPr>
            <w:r>
              <w:rPr/>
              <w:t> </w:t>
            </w:r>
          </w:p>
        </w:tc>
      </w:tr>
      <w:tr>
        <w:trPr/>
        <w:tc>
          <w:tcPr>
            <w:tcW w:w="871"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10.2+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228" w:type="dxa"/>
            <w:tcBorders/>
            <w:tcMar>
              <w:bottom w:w="0" w:type="dxa"/>
            </w:tcMar>
            <w:vAlign w:val="center"/>
          </w:tcPr>
          <w:p>
            <w:pPr>
              <w:pStyle w:val="TableContents"/>
              <w:bidi w:val="0"/>
              <w:spacing w:before="0" w:after="0"/>
              <w:ind w:left="0" w:right="0" w:hanging="0"/>
              <w:jc w:val="left"/>
              <w:rPr/>
            </w:pPr>
            <w:hyperlink w:anchor="ex_1000495.htm">
              <w:r>
                <w:rPr>
                  <w:rStyle w:val="InternetLink"/>
                  <w:rFonts w:ascii="Times New Roman" w:hAnsi="Times New Roman"/>
                  <w:sz w:val="20"/>
                </w:rPr>
                <w:t>Amendment No. 2 to Fluent, Inc. 2022 Omnibus Equity Incentive Plan</w:t>
              </w:r>
            </w:hyperlink>
          </w:p>
        </w:tc>
        <w:tc>
          <w:tcPr>
            <w:tcW w:w="60" w:type="dxa"/>
            <w:tcBorders/>
            <w:tcMar>
              <w:bottom w:w="0" w:type="dxa"/>
            </w:tcMar>
            <w:vAlign w:val="center"/>
          </w:tcPr>
          <w:p>
            <w:pPr>
              <w:pStyle w:val="TableContents"/>
              <w:bidi w:val="0"/>
              <w:spacing w:before="0" w:after="0"/>
              <w:ind w:left="0" w:right="0" w:hanging="0"/>
              <w:jc w:val="left"/>
              <w:rPr/>
            </w:pPr>
            <w:r>
              <w:rPr/>
              <w:t> </w:t>
            </w:r>
          </w:p>
        </w:tc>
        <w:tc>
          <w:tcPr>
            <w:tcW w:w="507"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659"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36" w:type="dxa"/>
            <w:tcBorders/>
            <w:tcMar>
              <w:bottom w:w="0" w:type="dxa"/>
            </w:tcMar>
            <w:vAlign w:val="center"/>
          </w:tcPr>
          <w:p>
            <w:pPr>
              <w:pStyle w:val="TableContents"/>
              <w:bidi w:val="0"/>
              <w:spacing w:before="0" w:after="0"/>
              <w:ind w:left="0" w:right="0" w:hanging="0"/>
              <w:jc w:val="center"/>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04" w:type="dxa"/>
            <w:tcBorders/>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X</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Management contract or compensatory plan or arrangement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551"/>
        <w:gridCol w:w="60"/>
        <w:gridCol w:w="8979"/>
        <w:gridCol w:w="63"/>
        <w:gridCol w:w="63"/>
        <w:gridCol w:w="63"/>
        <w:gridCol w:w="63"/>
        <w:gridCol w:w="63"/>
        <w:gridCol w:w="63"/>
        <w:gridCol w:w="63"/>
        <w:gridCol w:w="174"/>
      </w:tblGrid>
      <w:tr>
        <w:trPr/>
        <w:tc>
          <w:tcPr>
            <w:tcW w:w="551" w:type="dxa"/>
            <w:tcBorders/>
            <w:vAlign w:val="center"/>
          </w:tcPr>
          <w:p>
            <w:pPr>
              <w:pStyle w:val="TableContents"/>
              <w:bidi w:val="0"/>
              <w:spacing w:before="0" w:after="0"/>
              <w:ind w:left="0" w:right="0" w:hanging="0"/>
              <w:jc w:val="left"/>
              <w:rPr/>
            </w:pPr>
            <w:r>
              <w:rPr/>
              <w:t> </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31.1</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pPr>
            <w:hyperlink w:anchor="ex_973902.htm">
              <w:r>
                <w:rPr>
                  <w:rStyle w:val="InternetLink"/>
                  <w:rFonts w:ascii="Times New Roman" w:hAnsi="Times New Roman"/>
                  <w:caps w:val="false"/>
                  <w:smallCaps w:val="false"/>
                  <w:sz w:val="20"/>
                </w:rPr>
                <w:t>Certification of Chief Executive Officer filed pursuant to Exchange Act Rules 13a-14(a) and 15d-14(a) of the Securities and Exchange Act of 1934 as adopted pursuant to Section 302 of the Sarbanes-Oxley Act of 2002.</w:t>
              </w:r>
            </w:hyperlink>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31.2</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pPr>
            <w:hyperlink w:anchor="ex_973903.htm">
              <w:r>
                <w:rPr>
                  <w:rStyle w:val="InternetLink"/>
                  <w:rFonts w:ascii="Times New Roman" w:hAnsi="Times New Roman"/>
                  <w:caps w:val="false"/>
                  <w:smallCaps w:val="false"/>
                  <w:sz w:val="20"/>
                </w:rPr>
                <w:t>Certification of Chief Financial Officer filed pursuant to Exchange Act Rules 13a-14(a) and 15d-14(a) of the Securities and Exchange Act of 1934 as adopted pursuant to Section 302 of the Sarbanes-Oxley Act of 2002.</w:t>
              </w:r>
            </w:hyperlink>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32.1*</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pPr>
            <w:hyperlink w:anchor="ex_973904.htm">
              <w:r>
                <w:rPr>
                  <w:rStyle w:val="InternetLink"/>
                  <w:rFonts w:ascii="Times New Roman" w:hAnsi="Times New Roman"/>
                  <w:caps w:val="false"/>
                  <w:smallCaps w:val="false"/>
                  <w:sz w:val="20"/>
                </w:rPr>
                <w:t>Certification by Chief Executive Officer pursuant to 18 U.S.C. Section 1350, as adopted pursuant to Section 906 of the Sarbanes-Oxley Act of 2002.</w:t>
              </w:r>
            </w:hyperlink>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32.2*</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pPr>
            <w:hyperlink w:anchor="ex_973905.htm">
              <w:r>
                <w:rPr>
                  <w:rStyle w:val="InternetLink"/>
                  <w:rFonts w:ascii="Times New Roman" w:hAnsi="Times New Roman"/>
                  <w:caps w:val="false"/>
                  <w:smallCaps w:val="false"/>
                  <w:sz w:val="20"/>
                </w:rPr>
                <w:t>Certification by Chief Financial Officer pursuant to 18 U.S.C. Section 1350, as adopted pursuant to Section 906 of the Sarbanes-Oxley Act of 2002.</w:t>
              </w:r>
            </w:hyperlink>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left"/>
              <w:rPr/>
            </w:pPr>
            <w:r>
              <w:rPr/>
              <w:t> </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101.INS</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Instance Document (the Instance Document does not appear in the Interactive Data File because its XBRL tags are embedded within the Inline XBRL document)</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101.SCH</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Schema Document</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101.CAL</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Calculation Linkbase Document</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101.DEF</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Definition Linkbase Document</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101.LAB</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Label Linkbase Document</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101.PRE</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Inline XBRL Taxonomy Extension Presentation Linkbase Document</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104</w:t>
            </w:r>
          </w:p>
        </w:tc>
        <w:tc>
          <w:tcPr>
            <w:tcW w:w="60" w:type="dxa"/>
            <w:tcBorders/>
            <w:vAlign w:val="center"/>
          </w:tcPr>
          <w:p>
            <w:pPr>
              <w:pStyle w:val="TableContents"/>
              <w:bidi w:val="0"/>
              <w:spacing w:before="0" w:after="0"/>
              <w:ind w:left="0" w:right="0" w:hanging="0"/>
              <w:jc w:val="left"/>
              <w:rPr/>
            </w:pPr>
            <w:r>
              <w:rPr/>
              <w:t> </w:t>
            </w:r>
          </w:p>
        </w:tc>
        <w:tc>
          <w:tcPr>
            <w:tcW w:w="897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Cover Page Interactive Data File (formatted as Inline XBRL and contained in Exhibit 101)</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63" w:type="dxa"/>
            <w:tcBorders/>
            <w:vAlign w:val="center"/>
          </w:tcPr>
          <w:p>
            <w:pPr>
              <w:pStyle w:val="TableContents"/>
              <w:bidi w:val="0"/>
              <w:spacing w:before="0" w:after="0"/>
              <w:ind w:left="0" w:right="0" w:hanging="0"/>
              <w:jc w:val="left"/>
              <w:rPr/>
            </w:pPr>
            <w:r>
              <w:rPr/>
              <w:t> </w:t>
            </w:r>
          </w:p>
        </w:tc>
        <w:tc>
          <w:tcPr>
            <w:tcW w:w="174"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X</w:t>
            </w:r>
          </w:p>
        </w:tc>
      </w:tr>
      <w:tr>
        <w:trPr/>
        <w:tc>
          <w:tcPr>
            <w:tcW w:w="55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tc>
        <w:tc>
          <w:tcPr>
            <w:tcW w:w="60" w:type="dxa"/>
            <w:tcBorders/>
            <w:vAlign w:val="center"/>
          </w:tcPr>
          <w:p>
            <w:pPr>
              <w:pStyle w:val="TableContents"/>
              <w:bidi w:val="0"/>
              <w:spacing w:before="0" w:after="0"/>
              <w:ind w:left="0" w:right="0" w:hanging="0"/>
              <w:jc w:val="left"/>
              <w:rPr/>
            </w:pPr>
            <w:r>
              <w:rPr/>
              <w:t> </w:t>
            </w:r>
          </w:p>
        </w:tc>
        <w:tc>
          <w:tcPr>
            <w:tcW w:w="9594" w:type="dxa"/>
            <w:gridSpan w:val="9"/>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Furnished herewith. This certification is deemed not filed for purposes of Section 18 of the Exchange Act or otherwise subject to the liability of that section, nor shall it be deemed incorporated by reference into any filing under the Securities Act or the Exchange Act.</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r>
        <w:rPr>
          <w:rFonts w:ascii="Times New Roman" w:hAnsi="Times New Roman"/>
          <w:caps w:val="false"/>
          <w:smallCaps w:val="false"/>
          <w:sz w:val="20"/>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sz w:val="20"/>
        </w:rPr>
      </w:pPr>
      <w:bookmarkStart w:id="20" w:name="sigs"/>
      <w:bookmarkEnd w:id="20"/>
      <w:r>
        <w:rPr>
          <w:rFonts w:ascii="Times New Roman;Times;serif" w:hAnsi="Times New Roman;Times;serif"/>
          <w:b/>
          <w:sz w:val="20"/>
        </w:rPr>
        <w:t>SIGNATURES</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Pursuant to the requirements of the Securities Exchange Act of 1934, the registrant has duly caused this report to be signed on its behalf by the undersigned thereunto duly authorized. </w:t>
      </w:r>
    </w:p>
    <w:p>
      <w:pPr>
        <w:pStyle w:val="TextBody"/>
        <w:bidi w:val="0"/>
        <w:spacing w:before="0" w:after="0"/>
        <w:ind w:left="0" w:right="0" w:hanging="0"/>
        <w:jc w:val="left"/>
        <w:rPr/>
      </w:pPr>
      <w:r>
        <w:rPr/>
        <w:t> </w:t>
      </w:r>
    </w:p>
    <w:tbl>
      <w:tblPr>
        <w:tblW w:w="6180" w:type="dxa"/>
        <w:jc w:val="left"/>
        <w:tblInd w:w="0" w:type="dxa"/>
        <w:tblLayout w:type="fixed"/>
        <w:tblCellMar>
          <w:top w:w="0" w:type="dxa"/>
          <w:left w:w="0" w:type="dxa"/>
          <w:bottom w:w="0" w:type="dxa"/>
          <w:right w:w="0" w:type="dxa"/>
        </w:tblCellMar>
      </w:tblPr>
      <w:tblGrid>
        <w:gridCol w:w="1610"/>
        <w:gridCol w:w="320"/>
        <w:gridCol w:w="4250"/>
      </w:tblGrid>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250" w:type="dxa"/>
            <w:tcBorders/>
            <w:vAlign w:val="center"/>
          </w:tcPr>
          <w:p>
            <w:pPr>
              <w:pStyle w:val="TableContents"/>
              <w:bidi w:val="0"/>
              <w:spacing w:before="0" w:after="0"/>
              <w:ind w:left="0" w:right="0" w:hanging="0"/>
              <w:jc w:val="left"/>
              <w:rPr>
                <w:rFonts w:ascii="Times New Roman;Times;serif" w:hAnsi="Times New Roman;Times;serif"/>
                <w:b/>
                <w:sz w:val="20"/>
                <w:u w:val="single"/>
              </w:rPr>
            </w:pPr>
            <w:r>
              <w:rPr>
                <w:rFonts w:ascii="Times New Roman;Times;serif" w:hAnsi="Times New Roman;Times;serif"/>
                <w:b/>
                <w:sz w:val="20"/>
                <w:u w:val="single"/>
              </w:rPr>
              <w:t>Fluent, Inc.</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25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250" w:type="dxa"/>
            <w:tcBorders/>
            <w:vAlign w:val="center"/>
          </w:tcPr>
          <w:p>
            <w:pPr>
              <w:pStyle w:val="TableContents"/>
              <w:bidi w:val="0"/>
              <w:spacing w:before="0" w:after="0"/>
              <w:ind w:left="0" w:right="0" w:hanging="0"/>
              <w:jc w:val="left"/>
              <w:rPr/>
            </w:pPr>
            <w:r>
              <w:rPr/>
              <w:t> </w:t>
            </w:r>
          </w:p>
        </w:tc>
      </w:tr>
      <w:tr>
        <w:trPr/>
        <w:tc>
          <w:tcPr>
            <w:tcW w:w="1610" w:type="dxa"/>
            <w:tcBorders/>
            <w:vAlign w:val="center"/>
          </w:tcPr>
          <w:p>
            <w:pPr>
              <w:pStyle w:val="TableContents"/>
              <w:bidi w:val="0"/>
              <w:spacing w:before="0" w:after="283"/>
              <w:jc w:val="left"/>
              <w:rPr/>
            </w:pPr>
            <w:r>
              <w:rPr/>
              <w:t>August 13,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425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Perfit</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250" w:type="dxa"/>
            <w:tcBorders/>
            <w:vAlign w:val="center"/>
          </w:tcPr>
          <w:p>
            <w:pPr>
              <w:pStyle w:val="TableContents"/>
              <w:bidi w:val="0"/>
              <w:spacing w:before="0" w:after="283"/>
              <w:jc w:val="left"/>
              <w:rPr/>
            </w:pPr>
            <w:r>
              <w:rPr/>
              <w:t>Ryan Perfit</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25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4250" w:type="dxa"/>
            <w:tcBorders/>
            <w:vAlign w:val="center"/>
          </w:tcPr>
          <w:p>
            <w:pPr>
              <w:pStyle w:val="TableContents"/>
              <w:bidi w:val="0"/>
              <w:spacing w:before="0" w:after="283"/>
              <w:jc w:val="left"/>
              <w:rPr/>
            </w:pPr>
            <w:r>
              <w:rPr/>
              <w:t>(Principal Financial and Accounting Officer)</w:t>
            </w:r>
          </w:p>
        </w:tc>
      </w:tr>
    </w:tbl>
    <w:p>
      <w:pPr>
        <w:pStyle w:val="TextBody"/>
        <w:bidi w:val="0"/>
        <w:spacing w:before="0" w:after="0"/>
        <w:ind w:left="0" w:right="0" w:hanging="0"/>
        <w:jc w:val="left"/>
        <w:rPr/>
      </w:pPr>
      <w:r>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55</w:t>
      </w:r>
    </w:p>
    <w:p>
      <w:pPr>
        <w:pStyle w:val="TextBody"/>
        <w:bidi w:val="0"/>
        <w:spacing w:before="0" w:after="0"/>
        <w:ind w:left="0" w:right="0" w:hanging="0"/>
        <w:jc w:val="right"/>
        <w:rPr>
          <w:rFonts w:ascii="Times New Roman;Times;serif" w:hAnsi="Times New Roman;Times;serif"/>
          <w:sz w:val="20"/>
        </w:rPr>
      </w:pPr>
      <w:bookmarkStart w:id="21" w:name="ex_980229.htm"/>
      <w:bookmarkStart w:id="22" w:name="ksex_980229"/>
      <w:bookmarkEnd w:id="21"/>
      <w:bookmarkEnd w:id="22"/>
      <w:r>
        <w:rPr>
          <w:rFonts w:ascii="Times New Roman;Times;serif" w:hAnsi="Times New Roman;Times;serif"/>
          <w:b/>
          <w:sz w:val="20"/>
        </w:rPr>
        <w:t>Exhibit 10.1</w:t>
      </w:r>
      <w:r>
        <w:rPr>
          <w:rFonts w:ascii="Times New Roman;Times;serif" w:hAnsi="Times New Roman;Times;serif"/>
          <w:sz w:val="20"/>
        </w:rPr>
        <w:t xml:space="preserve"> </w:t>
      </w:r>
      <w:r>
        <w:br w:type="page"/>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w:t>
        <w:br/>
      </w:r>
      <w:r>
        <w:rPr>
          <w:rFonts w:ascii="Times New Roman" w:hAnsi="Times New Roman"/>
          <w:b/>
          <w:caps w:val="false"/>
          <w:smallCaps w:val="false"/>
          <w:sz w:val="20"/>
        </w:rPr>
        <w:t>RESTRICTED STOCK UNIT AWARD GRANT NOTICE</w:t>
      </w:r>
      <w:r>
        <w:rPr>
          <w:rFonts w:ascii="Times New Roman" w:hAnsi="Times New Roman"/>
          <w:caps w:val="false"/>
          <w:smallCaps w:val="false"/>
          <w:sz w:val="20"/>
        </w:rPr>
        <w:t> </w:t>
        <w:br/>
      </w:r>
      <w:r>
        <w:rPr>
          <w:rFonts w:ascii="Times New Roman" w:hAnsi="Times New Roman"/>
          <w:b/>
          <w:caps w:val="false"/>
          <w:smallCaps w:val="false"/>
          <w:sz w:val="20"/>
        </w:rPr>
        <w:t>(2022 Omnibus Equity Incentive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As a key contributor in our business, you are in a position to have significant influence on the performance and success of Fluent, Inc. (the “</w:t>
      </w:r>
      <w:r>
        <w:rPr>
          <w:rFonts w:ascii="Times New Roman" w:hAnsi="Times New Roman"/>
          <w:b/>
          <w:caps w:val="false"/>
          <w:smallCaps w:val="false"/>
          <w:sz w:val="20"/>
        </w:rPr>
        <w:t>Company</w:t>
      </w:r>
      <w:r>
        <w:rPr>
          <w:rFonts w:ascii="Times New Roman" w:hAnsi="Times New Roman"/>
          <w:caps w:val="false"/>
          <w:smallCaps w:val="false"/>
          <w:sz w:val="20"/>
        </w:rPr>
        <w:t>”). I am pleased to inform you that, in recognition of the role you play in our collective success, you have been granted a Restricted Stock Unit Award. This award is subject to the terms and conditions of the Fluent, Inc. 2022 Omnibus Equity Incentive Plan, this Grant Notice, and the following Restricted Stock Unit Agreement. The details of this award are indicated below.</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989"/>
        <w:gridCol w:w="8216"/>
      </w:tblGrid>
      <w:tr>
        <w:trPr/>
        <w:tc>
          <w:tcPr>
            <w:tcW w:w="19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Grantee:</w:t>
            </w:r>
          </w:p>
        </w:tc>
        <w:tc>
          <w:tcPr>
            <w:tcW w:w="82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[GRANTEE NAME]</w:t>
            </w:r>
          </w:p>
        </w:tc>
      </w:tr>
      <w:tr>
        <w:trPr/>
        <w:tc>
          <w:tcPr>
            <w:tcW w:w="1989" w:type="dxa"/>
            <w:tcBorders/>
            <w:vAlign w:val="center"/>
          </w:tcPr>
          <w:p>
            <w:pPr>
              <w:pStyle w:val="TableContents"/>
              <w:bidi w:val="0"/>
              <w:spacing w:before="0" w:after="0"/>
              <w:ind w:left="0" w:right="0" w:hanging="0"/>
              <w:jc w:val="left"/>
              <w:rPr/>
            </w:pPr>
            <w:r>
              <w:rPr/>
              <w:t> </w:t>
            </w:r>
          </w:p>
        </w:tc>
        <w:tc>
          <w:tcPr>
            <w:tcW w:w="8216" w:type="dxa"/>
            <w:tcBorders/>
            <w:vAlign w:val="center"/>
          </w:tcPr>
          <w:p>
            <w:pPr>
              <w:pStyle w:val="TableContents"/>
              <w:bidi w:val="0"/>
              <w:spacing w:before="0" w:after="0"/>
              <w:ind w:left="0" w:right="0" w:hanging="0"/>
              <w:jc w:val="left"/>
              <w:rPr/>
            </w:pPr>
            <w:r>
              <w:rPr/>
              <w:t> </w:t>
            </w:r>
          </w:p>
        </w:tc>
      </w:tr>
      <w:tr>
        <w:trPr/>
        <w:tc>
          <w:tcPr>
            <w:tcW w:w="19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of Grant:</w:t>
            </w:r>
          </w:p>
        </w:tc>
        <w:tc>
          <w:tcPr>
            <w:tcW w:w="82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OF GRANT]</w:t>
            </w:r>
          </w:p>
        </w:tc>
      </w:tr>
      <w:tr>
        <w:trPr/>
        <w:tc>
          <w:tcPr>
            <w:tcW w:w="1989" w:type="dxa"/>
            <w:tcBorders/>
            <w:vAlign w:val="center"/>
          </w:tcPr>
          <w:p>
            <w:pPr>
              <w:pStyle w:val="TableContents"/>
              <w:bidi w:val="0"/>
              <w:spacing w:before="0" w:after="0"/>
              <w:ind w:left="0" w:right="0" w:hanging="0"/>
              <w:jc w:val="left"/>
              <w:rPr/>
            </w:pPr>
            <w:r>
              <w:rPr/>
              <w:t> </w:t>
            </w:r>
          </w:p>
        </w:tc>
        <w:tc>
          <w:tcPr>
            <w:tcW w:w="8216" w:type="dxa"/>
            <w:tcBorders/>
            <w:vAlign w:val="center"/>
          </w:tcPr>
          <w:p>
            <w:pPr>
              <w:pStyle w:val="TableContents"/>
              <w:bidi w:val="0"/>
              <w:spacing w:before="0" w:after="0"/>
              <w:ind w:left="0" w:right="0" w:hanging="0"/>
              <w:jc w:val="left"/>
              <w:rPr/>
            </w:pPr>
            <w:r>
              <w:rPr/>
              <w:t> </w:t>
            </w:r>
          </w:p>
        </w:tc>
      </w:tr>
      <w:tr>
        <w:trPr/>
        <w:tc>
          <w:tcPr>
            <w:tcW w:w="19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Number of Restricted Stock Units:</w:t>
            </w:r>
          </w:p>
        </w:tc>
        <w:tc>
          <w:tcPr>
            <w:tcW w:w="82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[RSU COUNT]</w:t>
            </w:r>
          </w:p>
        </w:tc>
      </w:tr>
      <w:tr>
        <w:trPr/>
        <w:tc>
          <w:tcPr>
            <w:tcW w:w="1989" w:type="dxa"/>
            <w:tcBorders/>
            <w:vAlign w:val="center"/>
          </w:tcPr>
          <w:p>
            <w:pPr>
              <w:pStyle w:val="TableContents"/>
              <w:bidi w:val="0"/>
              <w:spacing w:before="0" w:after="0"/>
              <w:ind w:left="0" w:right="0" w:hanging="0"/>
              <w:jc w:val="left"/>
              <w:rPr/>
            </w:pPr>
            <w:r>
              <w:rPr/>
              <w:t> </w:t>
            </w:r>
          </w:p>
        </w:tc>
        <w:tc>
          <w:tcPr>
            <w:tcW w:w="8216" w:type="dxa"/>
            <w:tcBorders/>
            <w:vAlign w:val="center"/>
          </w:tcPr>
          <w:p>
            <w:pPr>
              <w:pStyle w:val="TableContents"/>
              <w:bidi w:val="0"/>
              <w:spacing w:before="0" w:after="0"/>
              <w:ind w:left="0" w:right="0" w:hanging="0"/>
              <w:jc w:val="left"/>
              <w:rPr/>
            </w:pPr>
            <w:r>
              <w:rPr/>
              <w:t> </w:t>
            </w:r>
          </w:p>
        </w:tc>
      </w:tr>
      <w:tr>
        <w:trPr/>
        <w:tc>
          <w:tcPr>
            <w:tcW w:w="198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Vesting Dates:</w:t>
            </w:r>
          </w:p>
        </w:tc>
        <w:tc>
          <w:tcPr>
            <w:tcW w:w="821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[VESTING SCHEDULE]</w:t>
            </w:r>
          </w:p>
        </w:tc>
      </w:tr>
      <w:tr>
        <w:trPr/>
        <w:tc>
          <w:tcPr>
            <w:tcW w:w="1989" w:type="dxa"/>
            <w:tcBorders/>
            <w:vAlign w:val="center"/>
          </w:tcPr>
          <w:p>
            <w:pPr>
              <w:pStyle w:val="TableContents"/>
              <w:bidi w:val="0"/>
              <w:spacing w:before="0" w:after="0"/>
              <w:ind w:left="0" w:right="0" w:hanging="0"/>
              <w:jc w:val="left"/>
              <w:rPr/>
            </w:pPr>
            <w:r>
              <w:rPr/>
              <w:t> </w:t>
            </w:r>
          </w:p>
        </w:tc>
        <w:tc>
          <w:tcPr>
            <w:tcW w:w="8216" w:type="dxa"/>
            <w:tcBorders/>
            <w:vAlign w:val="center"/>
          </w:tcPr>
          <w:p>
            <w:pPr>
              <w:pStyle w:val="TableContents"/>
              <w:bidi w:val="0"/>
              <w:spacing w:before="0" w:after="0"/>
              <w:ind w:left="0" w:right="0" w:hanging="0"/>
              <w:jc w:val="left"/>
              <w:rPr/>
            </w:pPr>
            <w:r>
              <w:rPr/>
              <w:t> </w:t>
            </w:r>
          </w:p>
        </w:tc>
      </w:tr>
      <w:tr>
        <w:trPr/>
        <w:tc>
          <w:tcPr>
            <w:tcW w:w="1989"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Delivery Dates:</w:t>
            </w:r>
          </w:p>
        </w:tc>
        <w:tc>
          <w:tcPr>
            <w:tcW w:w="821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Within two weeks of vesting, or as soon as reasonably practicable thereafter, subject to any applicable blackout periods under the Company's Insider Trading Policy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smallCaps/>
          <w:sz w:val="20"/>
        </w:rPr>
      </w:pPr>
      <w:r>
        <w:rPr>
          <w:rFonts w:ascii="Times New Roman" w:hAnsi="Times New Roman"/>
          <w:smallCaps/>
          <w:sz w:val="20"/>
        </w:rPr>
        <w:t xml:space="preserve">Fluent, Inc., a Delaware corporation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Ryan Perfit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Its: Chief Financial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Acknowledged and agreed as of ______________________________</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________________________</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[GRANTEE NAME]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RESTRICTED STOCK UNIT AWARD AGREEMENT</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RESTRICTED STOCK UNIT AWARD AGREEMENT (together with the above grant notice (the “</w:t>
      </w:r>
      <w:r>
        <w:rPr>
          <w:rFonts w:ascii="Times New Roman" w:hAnsi="Times New Roman"/>
          <w:b/>
          <w:caps w:val="false"/>
          <w:smallCaps w:val="false"/>
          <w:sz w:val="20"/>
        </w:rPr>
        <w:t>Grant Notice</w:t>
      </w:r>
      <w:r>
        <w:rPr>
          <w:rFonts w:ascii="Times New Roman" w:hAnsi="Times New Roman"/>
          <w:caps w:val="false"/>
          <w:smallCaps w:val="false"/>
          <w:sz w:val="20"/>
        </w:rPr>
        <w:t>”), this “</w:t>
      </w:r>
      <w:r>
        <w:rPr>
          <w:rFonts w:ascii="Times New Roman" w:hAnsi="Times New Roman"/>
          <w:b/>
          <w:caps w:val="false"/>
          <w:smallCaps w:val="false"/>
          <w:sz w:val="20"/>
        </w:rPr>
        <w:t>Agreement</w:t>
      </w:r>
      <w:r>
        <w:rPr>
          <w:rFonts w:ascii="Times New Roman" w:hAnsi="Times New Roman"/>
          <w:caps w:val="false"/>
          <w:smallCaps w:val="false"/>
          <w:sz w:val="20"/>
        </w:rPr>
        <w:t>”) is made and entered into as of the date set forth on the Grant Notice by and between the Company and the individual (the “</w:t>
      </w:r>
      <w:r>
        <w:rPr>
          <w:rFonts w:ascii="Times New Roman" w:hAnsi="Times New Roman"/>
          <w:b/>
          <w:caps w:val="false"/>
          <w:smallCaps w:val="false"/>
          <w:sz w:val="20"/>
        </w:rPr>
        <w:t>Grantee</w:t>
      </w:r>
      <w:r>
        <w:rPr>
          <w:rFonts w:ascii="Times New Roman" w:hAnsi="Times New Roman"/>
          <w:caps w:val="false"/>
          <w:smallCaps w:val="false"/>
          <w:sz w:val="20"/>
        </w:rPr>
        <w:t>”) set forth on the Grant Notice.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WHEREAS, pursuant to the Fluent, Inc. 2022 Omnibus Equity Incentive Plan (the “</w:t>
      </w:r>
      <w:r>
        <w:rPr>
          <w:rFonts w:ascii="Times New Roman" w:hAnsi="Times New Roman"/>
          <w:b/>
          <w:caps w:val="false"/>
          <w:smallCaps w:val="false"/>
          <w:sz w:val="20"/>
        </w:rPr>
        <w:t>Plan</w:t>
      </w:r>
      <w:r>
        <w:rPr>
          <w:rFonts w:ascii="Times New Roman" w:hAnsi="Times New Roman"/>
          <w:caps w:val="false"/>
          <w:smallCaps w:val="false"/>
          <w:sz w:val="20"/>
        </w:rPr>
        <w:t>”), the Administrator (the “</w:t>
      </w:r>
      <w:r>
        <w:rPr>
          <w:rFonts w:ascii="Times New Roman" w:hAnsi="Times New Roman"/>
          <w:b/>
          <w:caps w:val="false"/>
          <w:smallCaps w:val="false"/>
          <w:sz w:val="20"/>
        </w:rPr>
        <w:t>Administrator</w:t>
      </w:r>
      <w:r>
        <w:rPr>
          <w:rFonts w:ascii="Times New Roman" w:hAnsi="Times New Roman"/>
          <w:caps w:val="false"/>
          <w:smallCaps w:val="false"/>
          <w:sz w:val="20"/>
        </w:rPr>
        <w:t>”) has determined that it is to the advantage and best interest of the Company to grant to the Grantee this award of Restricted Stock Units (the “</w:t>
      </w:r>
      <w:r>
        <w:rPr>
          <w:rFonts w:ascii="Times New Roman" w:hAnsi="Times New Roman"/>
          <w:b/>
          <w:caps w:val="false"/>
          <w:smallCaps w:val="false"/>
          <w:sz w:val="20"/>
        </w:rPr>
        <w:t>Restricted Stock Units</w:t>
      </w:r>
      <w:r>
        <w:rPr>
          <w:rFonts w:ascii="Times New Roman" w:hAnsi="Times New Roman"/>
          <w:caps w:val="false"/>
          <w:smallCaps w:val="false"/>
          <w:sz w:val="20"/>
        </w:rPr>
        <w:t>”) as set forth in the Grant Notice and subject to the terms and provisions of the Plan, which is incorporated herein by reference, and this Agreement (the “</w:t>
      </w:r>
      <w:r>
        <w:rPr>
          <w:rFonts w:ascii="Times New Roman" w:hAnsi="Times New Roman"/>
          <w:b/>
          <w:caps w:val="false"/>
          <w:smallCaps w:val="false"/>
          <w:sz w:val="20"/>
        </w:rPr>
        <w:t>Award</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NOW, THEREFORE, in consideration of the mutual agreements contained herein, the Grantee and the Company hereby agree as follows: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1.           </w:t>
      </w:r>
      <w:r>
        <w:rPr>
          <w:rFonts w:ascii="Times New Roman" w:hAnsi="Times New Roman"/>
          <w:b/>
          <w:caps w:val="false"/>
          <w:smallCaps w:val="false"/>
          <w:sz w:val="20"/>
          <w:u w:val="single"/>
        </w:rPr>
        <w:t>Acceptance of Agreement</w:t>
      </w:r>
      <w:r>
        <w:rPr>
          <w:rFonts w:ascii="Times New Roman" w:hAnsi="Times New Roman"/>
          <w:caps w:val="false"/>
          <w:smallCaps w:val="false"/>
          <w:sz w:val="20"/>
        </w:rPr>
        <w:t>. Grantee has reviewed all of the provisions of the Plan, the Grant Notice and this Restricted Stock Unit Award Agreement. By accepting this Award, Grantee agrees that this Award is granted under and governed by the terms and conditions of the Plan, the Grant Notice and this Restricted Stock Unit Award Agreement, and the applicable provisions contained in a written employment agreement (if any) between the Company or an Affiliate and the Grantee. Grantee hereby agrees to accept as binding, conclusive and final all decisions or interpretations of the Administrator on questions relating to the Plan, the Grant Notice, this Agreement and, solely in so far as they relate to this Award, the applicable provisions contained in a written employment agreement (if any) between the Company or an Affiliate and the Grantee. If Grantee signs this Agreement and Grant Notice electronically, Grantee’s electronic signature of this Agreement shall have the same validity and effect as a signature affixed by hand.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2.           </w:t>
      </w:r>
      <w:r>
        <w:rPr>
          <w:rFonts w:ascii="Times New Roman" w:hAnsi="Times New Roman"/>
          <w:b/>
          <w:caps w:val="false"/>
          <w:smallCaps w:val="false"/>
          <w:sz w:val="20"/>
          <w:u w:val="single"/>
        </w:rPr>
        <w:t>Grant of Award</w:t>
      </w:r>
      <w:r>
        <w:rPr>
          <w:rFonts w:ascii="Times New Roman" w:hAnsi="Times New Roman"/>
          <w:caps w:val="false"/>
          <w:smallCaps w:val="false"/>
          <w:sz w:val="20"/>
        </w:rPr>
        <w:t>. The Restricted Stock Units granted hereunder pursuant to Section 9 of the Plan shall be subject to the terms and provisions of the Plan, and all capitalized terms not otherwise defined herein shall have the meaning ascribed to them in the Plan. For purposes of this Agreement, “</w:t>
      </w:r>
      <w:r>
        <w:rPr>
          <w:rFonts w:ascii="Times New Roman" w:hAnsi="Times New Roman"/>
          <w:b/>
          <w:caps w:val="false"/>
          <w:smallCaps w:val="false"/>
          <w:sz w:val="20"/>
        </w:rPr>
        <w:t>Termination</w:t>
      </w:r>
      <w:r>
        <w:rPr>
          <w:rFonts w:ascii="Times New Roman" w:hAnsi="Times New Roman"/>
          <w:caps w:val="false"/>
          <w:smallCaps w:val="false"/>
          <w:sz w:val="20"/>
        </w:rPr>
        <w:t>” shall mean the termination of the employment or provision of services of the Grantee with the Company and all Affiliates thereof (including because of the Grantee’s employer ceasing to be an Affiliate of the Company); and “</w:t>
      </w:r>
      <w:r>
        <w:rPr>
          <w:rFonts w:ascii="Times New Roman" w:hAnsi="Times New Roman"/>
          <w:b/>
          <w:caps w:val="false"/>
          <w:smallCaps w:val="false"/>
          <w:sz w:val="20"/>
        </w:rPr>
        <w:t>Termination Date</w:t>
      </w:r>
      <w:r>
        <w:rPr>
          <w:rFonts w:ascii="Times New Roman" w:hAnsi="Times New Roman"/>
          <w:caps w:val="false"/>
          <w:smallCaps w:val="false"/>
          <w:sz w:val="20"/>
        </w:rPr>
        <w:t>” shall mean the date of the Termination. For purposes of this Agreement, Termination will not occur when Grantee goes on a military leave, a sick leave or another bona fide leave of absence that was approved by the Company in writing if the terms of the leave provide for continued service crediting, or when continued service crediting is required by Applicable Laws. Notwithstanding the foregoing, an approved leave of absence for six months or less, which does not in fact exceed six months, will not result in Termination for purposes of this Agreement. However, Termination will occur when approved leave described in this Section 2 ends, unless Grantee immediately returns to active work. Grantee shall be entitled to receive dividends declared during the Restricted Period with respect to the number of Shares covered by Restricted Stock Units, which dividends will be paid to Grantee at the time (and to the extent) Shares in respect of the related Restricted Stock Units are delivered to the Grantee under the terms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3.           </w:t>
      </w:r>
      <w:r>
        <w:rPr>
          <w:rFonts w:ascii="Times New Roman" w:hAnsi="Times New Roman"/>
          <w:b/>
          <w:caps w:val="false"/>
          <w:smallCaps w:val="false"/>
          <w:sz w:val="20"/>
          <w:u w:val="single"/>
        </w:rPr>
        <w:t>Vesting</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3.1         </w:t>
      </w:r>
      <w:r>
        <w:rPr>
          <w:rFonts w:ascii="Times New Roman" w:hAnsi="Times New Roman"/>
          <w:caps w:val="false"/>
          <w:smallCaps w:val="false"/>
          <w:sz w:val="20"/>
        </w:rPr>
        <w:t>Subject to the provisions of the Plan and Section 3.2 of this Agreement, and except as otherwise provided in a written employment agreement between the Company or an Affiliate and the Grantee (if any), the Restricted Stock Units shall vest in installments as described in the Grant Notice (each applicable vesting date, a “</w:t>
      </w:r>
      <w:r>
        <w:rPr>
          <w:rFonts w:ascii="Times New Roman" w:hAnsi="Times New Roman"/>
          <w:b/>
          <w:caps w:val="false"/>
          <w:smallCaps w:val="false"/>
          <w:sz w:val="20"/>
        </w:rPr>
        <w:t>Vesting Date</w:t>
      </w:r>
      <w:r>
        <w:rPr>
          <w:rFonts w:ascii="Times New Roman" w:hAnsi="Times New Roman"/>
          <w:caps w:val="false"/>
          <w:smallCaps w:val="false"/>
          <w:sz w:val="20"/>
        </w:rPr>
        <w:t>”), subject to the Grantee not experiencing a Termination prior to each applicable Vesting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3.2         </w:t>
      </w:r>
      <w:r>
        <w:rPr>
          <w:rFonts w:ascii="Times New Roman" w:hAnsi="Times New Roman"/>
          <w:caps w:val="false"/>
          <w:smallCaps w:val="false"/>
          <w:sz w:val="20"/>
        </w:rPr>
        <w:t>If the Grantee experiences a Termination for any reason other than due to death or Disability following the first anniversary of the Date of Grant, but prior to an applicable Vesting Date, as of the Termination Date, the Grantee shall forfeit any unvested Restricted Stock Units. Notwithstanding anything to the contrary in this Agreement, the Plan or any other agreement, if the Participant experiences a Termination due to death, all then-unvested Restricted Stock Units that are subject solely to time-based vesting conditions (and not subject to the attainment of performance-based vesting conditions) shall immediately become fully vested as of the Termination Date. For the avoidance of doubt, any Restricted Stock Units that are subject in whole or in part to performance-based vesting conditions shall be forfeited as of the Termination Date. If the Grantee experiences a Termination due to Disability following the first anniversary of the Date of Grant, but prior to an applicable Vesting Date, all then-unvested Restricted Stock Units which could by their terms otherwise become vested during the 90-day period following such Termination will remain outstanding for 90 days (and all other Restricted Stock Units will become forfeited on the date of such Termination). Any such unvested Restricted Stock Units which do not become vested during such 90-day period will be forfeited upon expiration of such 90-day period.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3.3         </w:t>
      </w:r>
      <w:r>
        <w:rPr>
          <w:rFonts w:ascii="Times New Roman" w:hAnsi="Times New Roman"/>
          <w:caps w:val="false"/>
          <w:smallCaps w:val="false"/>
          <w:sz w:val="20"/>
        </w:rPr>
        <w:t>Unless otherwise provided in an agreement between the Grantee and the Company, in the event of a Change in Control (as defined in the Plan), all Restricted Stock Units which have not vested on the date of such Change in Control shall immediately vest.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4.           </w:t>
      </w:r>
      <w:r>
        <w:rPr>
          <w:rFonts w:ascii="Times New Roman" w:hAnsi="Times New Roman"/>
          <w:b/>
          <w:caps w:val="false"/>
          <w:smallCaps w:val="false"/>
          <w:sz w:val="20"/>
          <w:u w:val="single"/>
        </w:rPr>
        <w:t>Transfer and Settlement of Restricted Stock Units</w:t>
      </w:r>
      <w:r>
        <w:rPr>
          <w:rFonts w:ascii="Times New Roman" w:hAnsi="Times New Roman"/>
          <w:caps w:val="false"/>
          <w:smallCaps w:val="false"/>
          <w:sz w:val="20"/>
        </w:rPr>
        <w:t>. The Restricted Stock Units issued under this Agreement may not be sold, transferred or otherwise disposed of and may not be pledged or otherwise hypothecated (each, a “</w:t>
      </w:r>
      <w:r>
        <w:rPr>
          <w:rFonts w:ascii="Times New Roman" w:hAnsi="Times New Roman"/>
          <w:b/>
          <w:caps w:val="false"/>
          <w:smallCaps w:val="false"/>
          <w:sz w:val="20"/>
        </w:rPr>
        <w:t>Transfer</w:t>
      </w:r>
      <w:r>
        <w:rPr>
          <w:rFonts w:ascii="Times New Roman" w:hAnsi="Times New Roman"/>
          <w:caps w:val="false"/>
          <w:smallCaps w:val="false"/>
          <w:sz w:val="20"/>
        </w:rPr>
        <w:t xml:space="preserve">”). In addition, Grantee shall not sell any Shares received with respect to Restricted Stock Units (even following settlement of Restricted Stock Units) at a time when Applicable Laws, regulations or Company’s or underwriter trading policies prohibit such sale. The applicable portion of this Award (to the extent vested) shall be settled by the Company by the issuance and delivery of Shares as soon as reasonably practical after (but no later than 60 days after) the Delivery Dates, as indicated in the Grant Notice, to the Grantee (or if applicable, the beneficiaries of the Grantee) unless otherwise deferred as provided in the Restricted Stock Unit Deferral Election Form attached hereto as </w:t>
      </w:r>
      <w:r>
        <w:rPr>
          <w:rFonts w:ascii="Times New Roman" w:hAnsi="Times New Roman"/>
          <w:caps w:val="false"/>
          <w:smallCaps w:val="false"/>
          <w:sz w:val="20"/>
          <w:u w:val="single"/>
        </w:rPr>
        <w:t>Attachment A</w:t>
      </w:r>
      <w:r>
        <w:rPr>
          <w:rFonts w:ascii="Times New Roman" w:hAnsi="Times New Roman"/>
          <w:caps w:val="false"/>
          <w:smallCaps w:val="false"/>
          <w:sz w:val="20"/>
        </w:rPr>
        <w:t>. Any issuance of Shares shall be made only in whole Shares, and any fractional shares shall be distributed in an equivalent cash amount.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b/>
          <w:caps w:val="false"/>
          <w:smallCaps w:val="false"/>
          <w:sz w:val="20"/>
        </w:rPr>
        <w:t>5.           </w:t>
      </w:r>
      <w:r>
        <w:rPr>
          <w:rFonts w:ascii="Times New Roman" w:hAnsi="Times New Roman"/>
          <w:b/>
          <w:caps w:val="false"/>
          <w:smallCaps w:val="false"/>
          <w:sz w:val="20"/>
          <w:u w:val="single"/>
        </w:rPr>
        <w:t>General</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5.1         </w:t>
      </w:r>
      <w:r>
        <w:rPr>
          <w:rFonts w:ascii="Times New Roman" w:hAnsi="Times New Roman"/>
          <w:b/>
          <w:caps w:val="false"/>
          <w:smallCaps w:val="false"/>
          <w:sz w:val="20"/>
          <w:u w:val="single"/>
        </w:rPr>
        <w:t>Governing Law</w:t>
      </w:r>
      <w:r>
        <w:rPr>
          <w:rFonts w:ascii="Times New Roman" w:hAnsi="Times New Roman"/>
          <w:caps w:val="false"/>
          <w:smallCaps w:val="false"/>
          <w:sz w:val="20"/>
        </w:rPr>
        <w:t>. This Agreement shall be governed by and construed under the laws of the State of Delaware.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5.2         </w:t>
      </w:r>
      <w:r>
        <w:rPr>
          <w:rFonts w:ascii="Times New Roman" w:hAnsi="Times New Roman"/>
          <w:b/>
          <w:caps w:val="false"/>
          <w:smallCaps w:val="false"/>
          <w:sz w:val="20"/>
          <w:u w:val="single"/>
        </w:rPr>
        <w:t>Community Property</w:t>
      </w:r>
      <w:r>
        <w:rPr>
          <w:rFonts w:ascii="Times New Roman" w:hAnsi="Times New Roman"/>
          <w:caps w:val="false"/>
          <w:smallCaps w:val="false"/>
          <w:sz w:val="20"/>
        </w:rPr>
        <w:t>. Without prejudice to the actual rights of the spouses as between each other, for all purposes of this Agreement, the Grantee shall be treated as agent and attorney-in-fact for that interest held or claimed by his or her spouse with respect to this Award and the parties hereto shall act in all matters as if the Grantee was the sole owner of this Award. This appointment is coupled with an interest and is irrevocable.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5.3         </w:t>
      </w:r>
      <w:r>
        <w:rPr>
          <w:rFonts w:ascii="Times New Roman" w:hAnsi="Times New Roman"/>
          <w:b/>
          <w:caps w:val="false"/>
          <w:smallCaps w:val="false"/>
          <w:sz w:val="20"/>
          <w:u w:val="single"/>
        </w:rPr>
        <w:t>No Employment Rights</w:t>
      </w:r>
      <w:r>
        <w:rPr>
          <w:rFonts w:ascii="Times New Roman" w:hAnsi="Times New Roman"/>
          <w:caps w:val="false"/>
          <w:smallCaps w:val="false"/>
          <w:sz w:val="20"/>
        </w:rPr>
        <w:t>. Nothing contained herein shall be construed as an agreement by the Company or any of its subsidiaries, express or implied, to employ the Grantee or contract for the Grantee’s services, to restrict the Company’s or such subsidiary’s right to discharge the Grantee or cease contracting for the Grantee’s services or to modify, extend or otherwise affect in any manner whatsoever the terms of any employment agreement or contract for services which may exist between the Grantee and the Company or any Affiliate.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5.4         </w:t>
      </w:r>
      <w:r>
        <w:rPr>
          <w:rFonts w:ascii="Times New Roman" w:hAnsi="Times New Roman"/>
          <w:b/>
          <w:caps w:val="false"/>
          <w:smallCaps w:val="false"/>
          <w:sz w:val="20"/>
          <w:u w:val="single"/>
        </w:rPr>
        <w:t>Application to Other Stock</w:t>
      </w:r>
      <w:r>
        <w:rPr>
          <w:rFonts w:ascii="Times New Roman" w:hAnsi="Times New Roman"/>
          <w:caps w:val="false"/>
          <w:smallCaps w:val="false"/>
          <w:sz w:val="20"/>
        </w:rPr>
        <w:t>. In the event any capital stock of the Company or any other corporation shall be distributed on, with respect to or in exchange for Shares underlying Restricted Stock Units as a stock dividend, stock split, reclassification, recapitalization or similar transaction in connection with any merger or reorganization or otherwise, all restrictions, rights and obligations set forth in this Agreement shall apply with respect to such other capital stock to the same extent as they are, or would have been applicable, to the Shares underlying Restricted Stock Units on or with respect to which such other capital stock was distributed, and references to “Company” in respect of such distributed stock shall be deemed to refer to the company to which such distributed stock relates.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5.5         </w:t>
      </w:r>
      <w:r>
        <w:rPr>
          <w:rFonts w:ascii="Times New Roman" w:hAnsi="Times New Roman"/>
          <w:b/>
          <w:caps w:val="false"/>
          <w:smallCaps w:val="false"/>
          <w:sz w:val="20"/>
          <w:u w:val="single"/>
        </w:rPr>
        <w:t>No Third-Party Benefits</w:t>
      </w:r>
      <w:r>
        <w:rPr>
          <w:rFonts w:ascii="Times New Roman" w:hAnsi="Times New Roman"/>
          <w:caps w:val="false"/>
          <w:smallCaps w:val="false"/>
          <w:sz w:val="20"/>
        </w:rPr>
        <w:t>. Except as otherwise expressly provided in this Agreement, none of the provisions of this Agreement shall be for the benefit of, or enforceable by, any third-party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5.6         </w:t>
      </w:r>
      <w:r>
        <w:rPr>
          <w:rFonts w:ascii="Times New Roman" w:hAnsi="Times New Roman"/>
          <w:b/>
          <w:caps w:val="false"/>
          <w:smallCaps w:val="false"/>
          <w:sz w:val="20"/>
          <w:u w:val="single"/>
        </w:rPr>
        <w:t>Successors and Assigns</w:t>
      </w:r>
      <w:r>
        <w:rPr>
          <w:rFonts w:ascii="Times New Roman" w:hAnsi="Times New Roman"/>
          <w:caps w:val="false"/>
          <w:smallCaps w:val="false"/>
          <w:sz w:val="20"/>
        </w:rPr>
        <w:t>. Except as provided herein to the contrary, this Agreement shall be binding upon and inure to the benefit of the parties, their respective successors and permitted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5.7         </w:t>
      </w:r>
      <w:r>
        <w:rPr>
          <w:rFonts w:ascii="Times New Roman" w:hAnsi="Times New Roman"/>
          <w:b/>
          <w:caps w:val="false"/>
          <w:smallCaps w:val="false"/>
          <w:sz w:val="20"/>
          <w:u w:val="single"/>
        </w:rPr>
        <w:t>No Assignment</w:t>
      </w:r>
      <w:r>
        <w:rPr>
          <w:rFonts w:ascii="Times New Roman" w:hAnsi="Times New Roman"/>
          <w:caps w:val="false"/>
          <w:smallCaps w:val="false"/>
          <w:sz w:val="20"/>
        </w:rPr>
        <w:t>. Except as otherwise provided in this Agreement, the Grantee may not assign any of his or her rights under this Agreement without the prior written consent of the Company, which consent may be withheld in its sole discretion. The Company shall be permitted to assign its rights or obligations under this Agreement so long as such assignee agrees to perform all of the Company’s obligations hereunder.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5.8         </w:t>
      </w:r>
      <w:r>
        <w:rPr>
          <w:rFonts w:ascii="Times New Roman" w:hAnsi="Times New Roman"/>
          <w:b/>
          <w:caps w:val="false"/>
          <w:smallCaps w:val="false"/>
          <w:sz w:val="20"/>
          <w:u w:val="single"/>
        </w:rPr>
        <w:t>Severability</w:t>
      </w:r>
      <w:r>
        <w:rPr>
          <w:rFonts w:ascii="Times New Roman" w:hAnsi="Times New Roman"/>
          <w:caps w:val="false"/>
          <w:smallCaps w:val="false"/>
          <w:sz w:val="20"/>
        </w:rPr>
        <w:t>. The validity, legality or enforceability of the remainder of this Agreement shall not be affected even if one or more of the provisions of this Agreement shall be held to be invalid, illegal or unenforceable in any respect.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5.9         </w:t>
      </w:r>
      <w:r>
        <w:rPr>
          <w:rFonts w:ascii="Times New Roman" w:hAnsi="Times New Roman"/>
          <w:b/>
          <w:caps w:val="false"/>
          <w:smallCaps w:val="false"/>
          <w:sz w:val="20"/>
          <w:u w:val="single"/>
        </w:rPr>
        <w:t>Equitable Relief</w:t>
      </w:r>
      <w:r>
        <w:rPr>
          <w:rFonts w:ascii="Times New Roman" w:hAnsi="Times New Roman"/>
          <w:caps w:val="false"/>
          <w:smallCaps w:val="false"/>
          <w:sz w:val="20"/>
        </w:rPr>
        <w:t>. The Grantee acknowledges that, in the event of a threatened or actual breach of any of the provisions of this Agreement, damages alone will be an inadequate remedy, and such breach will cause the Company great, immediate and irreparable injury and damage. Accordingly, the Grantee agrees that the Company shall be entitled to injunctive and other equitable relief, and that such relief shall be in addition to, and not in lieu of, any remedies it may have at law or under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5.10        </w:t>
      </w:r>
      <w:r>
        <w:rPr>
          <w:rFonts w:ascii="Times New Roman" w:hAnsi="Times New Roman"/>
          <w:b/>
          <w:caps w:val="false"/>
          <w:smallCaps w:val="false"/>
          <w:sz w:val="20"/>
          <w:u w:val="single"/>
        </w:rPr>
        <w:t>Jurisdiction</w:t>
      </w:r>
      <w:r>
        <w:rPr>
          <w:rFonts w:ascii="Times New Roman" w:hAnsi="Times New Roman"/>
          <w:caps w:val="false"/>
          <w:smallCaps w:val="false"/>
          <w:sz w:val="20"/>
        </w:rPr>
        <w:t>. Any suit, action or proceeding with respect to this Agreement, or any judgment entered by any court in respect of any thereof, shall be brought in any court of competent jurisdiction in the State of Delaware, and the Company and the Grantee hereby submit to the exclusive jurisdiction of such courts for the purpose of any such suit, action, proceeding or judgment. The Grantee and the Company hereby irrevocably waive (i) any objections which it may now or hereafter have to the laying of the venue of any suit, action or proceeding arising out of or relating to this Agreement brought in any court of competent jurisdiction in the State of Delaware and (ii) any claim that any such suit, action or proceeding brought in any such court has been brought in any inconvenient forum.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5.11        </w:t>
      </w:r>
      <w:r>
        <w:rPr>
          <w:rFonts w:ascii="Times New Roman" w:hAnsi="Times New Roman"/>
          <w:b/>
          <w:caps w:val="false"/>
          <w:smallCaps w:val="false"/>
          <w:sz w:val="20"/>
          <w:u w:val="single"/>
        </w:rPr>
        <w:t>Taxes</w:t>
      </w:r>
      <w:r>
        <w:rPr>
          <w:rFonts w:ascii="Times New Roman" w:hAnsi="Times New Roman"/>
          <w:caps w:val="false"/>
          <w:smallCaps w:val="false"/>
          <w:sz w:val="20"/>
        </w:rPr>
        <w:t>. By agreeing to this Agreement, the Grantee represents that he or she has reviewed with his or her own tax advisors the federal, state, local and foreign tax consequences of the transactions contemplated by this Agreement and that he or she is relying solely on such advisors and not on any statements or representations of the Company or any of its agents. The Company shall be entitled to require a cash payment by or on behalf of the Grantee and/or to deduct from the Shares or cash issuable hereunder or from other compensation payable to the Grantee the minimum amount of any sums required by federal, state or local tax law to be withheld (or other such sums that that will not cause adverse accounting consequences for the Company and is permitted under applicable withholding rules promulgated by the Internal Revenue Service or another applicable governmental entity) with respect to the Restricted Stock Unit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5.12        </w:t>
      </w:r>
      <w:r>
        <w:rPr>
          <w:rFonts w:ascii="Times New Roman" w:hAnsi="Times New Roman"/>
          <w:b/>
          <w:caps w:val="false"/>
          <w:smallCaps w:val="false"/>
          <w:sz w:val="20"/>
          <w:u w:val="single"/>
        </w:rPr>
        <w:t>Section 409A Compliance</w:t>
      </w:r>
      <w:r>
        <w:rPr>
          <w:rFonts w:ascii="Times New Roman" w:hAnsi="Times New Roman"/>
          <w:caps w:val="false"/>
          <w:smallCaps w:val="false"/>
          <w:sz w:val="20"/>
        </w:rPr>
        <w:t>. The intent of the parties is that payments and benefits under this Agreement comply with Section 409A of Code to the extent subject thereto, and, accordingly, to the maximum extent permitted, this Agreement shall be interpreted and be administered to be in compliance therewith. Notwithstanding anything contained herein to the contrary, to the extent required to avoid accelerated taxation and/or tax penalties under Section 409A of the Code, the Grantee shall not be considered to have separated from service with the Company for purposes of this Agreement and no payment shall be due to the Grantee under this Agreement on account of a separation from service until the Grantee would be considered to have incurred a “separation from service” from the Company within the meaning of Section 409A of the Code. Any payments described in this Agreement that are due within the “short-term deferral period” as defined in Section 409A of the Code shall not be treated as deferred compensation unless applicable law requires otherwise. Notwithstanding anything to the contrary in this Agreement, to the extent that any amounts are payable upon a separation from service and such payment would result in accelerated taxation and/or tax penalties under Section 409A of the Code, such payment, under this Agreement or any other agreement of the Company, shall be made on the first business day after the date that is six (6) months following such separation from service (or death, if earlier). The Company makes no representation that any or all of the payments described in this Agreement will be exempt from or comply with Section 409A of the Code and makes no undertaking to preclude Section 409A of the Code from applying to any such payment. If it is determined that the terms of this Agreement have been structured in a manner that would result in adverse tax treatment under Section 409A of the Code, the parties agree to cooperate in taking all reasonable measures to restructure the arrangement to minimize or avoid such adverse tax treatment without materially impairing Grantee’s economic rights. The Grantee shall be solely responsible for the payment of any taxes and penalties incurred under Section 409A.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5.13        </w:t>
      </w:r>
      <w:r>
        <w:rPr>
          <w:rFonts w:ascii="Times New Roman" w:hAnsi="Times New Roman"/>
          <w:b/>
          <w:caps w:val="false"/>
          <w:smallCaps w:val="false"/>
          <w:sz w:val="20"/>
          <w:u w:val="single"/>
        </w:rPr>
        <w:t>Headings</w:t>
      </w:r>
      <w:r>
        <w:rPr>
          <w:rFonts w:ascii="Times New Roman" w:hAnsi="Times New Roman"/>
          <w:caps w:val="false"/>
          <w:smallCaps w:val="false"/>
          <w:sz w:val="20"/>
        </w:rPr>
        <w:t>. The section headings in this Agreement are inserted only as a matter of convenience, and in no way define, limit, extend or interpret the scope of this Agreement or of any particular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5.14        </w:t>
      </w:r>
      <w:r>
        <w:rPr>
          <w:rFonts w:ascii="Times New Roman" w:hAnsi="Times New Roman"/>
          <w:b/>
          <w:caps w:val="false"/>
          <w:smallCaps w:val="false"/>
          <w:sz w:val="20"/>
          <w:u w:val="single"/>
        </w:rPr>
        <w:t>Number and Gender</w:t>
      </w:r>
      <w:r>
        <w:rPr>
          <w:rFonts w:ascii="Times New Roman" w:hAnsi="Times New Roman"/>
          <w:caps w:val="false"/>
          <w:smallCaps w:val="false"/>
          <w:sz w:val="20"/>
        </w:rPr>
        <w:t>. Throughout this Agreement, as the context may require, (a) the masculine gender includes the feminine and the neuter gender includes the masculine and the feminine; (b) the singular tense and number includes the plural, and the plural tense and number includes the singular; (c) the past tense includes the present, and the present tense includes the past; (d) references to parties, sections, paragraphs and exhibits mean the parties, sections, paragraphs and exhibits of and to this Agreement; and (e) periods of days, weeks or months mean calendar days, weeks or months.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5.15        </w:t>
      </w:r>
      <w:r>
        <w:rPr>
          <w:rFonts w:ascii="Times New Roman" w:hAnsi="Times New Roman"/>
          <w:b/>
          <w:caps w:val="false"/>
          <w:smallCaps w:val="false"/>
          <w:sz w:val="20"/>
          <w:u w:val="single"/>
        </w:rPr>
        <w:t>Electronic Delivery and Disclosure</w:t>
      </w:r>
      <w:r>
        <w:rPr>
          <w:rFonts w:ascii="Times New Roman" w:hAnsi="Times New Roman"/>
          <w:caps w:val="false"/>
          <w:smallCaps w:val="false"/>
          <w:sz w:val="20"/>
        </w:rPr>
        <w:t>. The Company may, in its sole discretion, decide to deliver or disclose, as applicable, any documents related to this Award granted under the Plan, future awards that may be granted under the Plan, the prospectus related to the Plan , the Company’s annual reports or proxy statements by electronic means or to request Grantee’s consent to participate in the Plan by electronic means, including, but not limited to, the Securities and Exchange Commission’s Electronic Data Gathering, Analysis, and Retrieval system or any successor system (“</w:t>
      </w:r>
      <w:r>
        <w:rPr>
          <w:rFonts w:ascii="Times New Roman" w:hAnsi="Times New Roman"/>
          <w:b/>
          <w:caps w:val="false"/>
          <w:smallCaps w:val="false"/>
          <w:sz w:val="20"/>
        </w:rPr>
        <w:t>EDGAR</w:t>
      </w:r>
      <w:r>
        <w:rPr>
          <w:rFonts w:ascii="Times New Roman" w:hAnsi="Times New Roman"/>
          <w:caps w:val="false"/>
          <w:smallCaps w:val="false"/>
          <w:sz w:val="20"/>
        </w:rPr>
        <w:t>”). Grantee hereby consents to receive such documents delivered electronically or to retrieve such documents furnished electronically (including on EDGAR), as applicable, and agrees to participate in the Plan through any online or electronic system established and maintained by the Company or another third party designated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5.16        </w:t>
      </w:r>
      <w:r>
        <w:rPr>
          <w:rFonts w:ascii="Times New Roman" w:hAnsi="Times New Roman"/>
          <w:b/>
          <w:caps w:val="false"/>
          <w:smallCaps w:val="false"/>
          <w:sz w:val="20"/>
          <w:u w:val="single"/>
        </w:rPr>
        <w:t>Data Privacy</w:t>
      </w:r>
      <w:r>
        <w:rPr>
          <w:rFonts w:ascii="Times New Roman" w:hAnsi="Times New Roman"/>
          <w:caps w:val="false"/>
          <w:smallCaps w:val="false"/>
          <w:sz w:val="20"/>
        </w:rPr>
        <w:t>. Grantee agrees that all of Grantee’s information that is described or referenced in this Agreement and the Plan may be used by the Company, its affiliates and the designated broker and its affiliates to administer and manage Grantee’s participation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5.17        </w:t>
      </w:r>
      <w:r>
        <w:rPr>
          <w:rFonts w:ascii="Times New Roman" w:hAnsi="Times New Roman"/>
          <w:b/>
          <w:caps w:val="false"/>
          <w:smallCaps w:val="false"/>
          <w:sz w:val="20"/>
          <w:u w:val="single"/>
        </w:rPr>
        <w:t>Acknowledgments of Grantee</w:t>
      </w:r>
      <w:r>
        <w:rPr>
          <w:rFonts w:ascii="Times New Roman" w:hAnsi="Times New Roman"/>
          <w:caps w:val="false"/>
          <w:smallCaps w:val="false"/>
          <w:sz w:val="20"/>
        </w:rPr>
        <w:t>. Grantee has reviewed the Plan and this Agreement in their entirety, has had an opportunity to obtain the advice of counsel prior to executing this Agreement, fully understands all provisions of the Plan and this Agreement and, by accepting the Grant Notice, acknowledges and agrees to all of the provisions of the Plan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5.18        </w:t>
      </w:r>
      <w:r>
        <w:rPr>
          <w:rFonts w:ascii="Times New Roman" w:hAnsi="Times New Roman"/>
          <w:b/>
          <w:caps w:val="false"/>
          <w:smallCaps w:val="false"/>
          <w:sz w:val="20"/>
          <w:u w:val="single"/>
        </w:rPr>
        <w:t>Complete Agreement</w:t>
      </w:r>
      <w:r>
        <w:rPr>
          <w:rFonts w:ascii="Times New Roman" w:hAnsi="Times New Roman"/>
          <w:caps w:val="false"/>
          <w:smallCaps w:val="false"/>
          <w:sz w:val="20"/>
        </w:rPr>
        <w:t>. The Grant Notice, this Agreement, the Plan and applicable provisions (if any) contained in a written employment agreement between the Company or an Affiliate and the Grantee constitute the parties’ entire agreement with respect to the subject matter hereof and supersede all agreements, representations, warranties, statements, promises and understandings, whether oral or written, with respect to the subject matter hereof.</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5.19        </w:t>
      </w:r>
      <w:r>
        <w:rPr>
          <w:rFonts w:ascii="Times New Roman" w:hAnsi="Times New Roman"/>
          <w:b/>
          <w:caps w:val="false"/>
          <w:smallCaps w:val="false"/>
          <w:sz w:val="20"/>
          <w:u w:val="single"/>
        </w:rPr>
        <w:t>Waiver of Jury Trial</w:t>
      </w:r>
      <w:r>
        <w:rPr>
          <w:rFonts w:ascii="Times New Roman" w:hAnsi="Times New Roman"/>
          <w:caps w:val="false"/>
          <w:smallCaps w:val="false"/>
          <w:sz w:val="20"/>
        </w:rPr>
        <w:t>. TO THE EXTENT EITHER PARTY INITIATES LITIGATION INVOLVING THIS AGREEMENT OR ANY ASPECT OF THE RELATIONSHIP BETWEEN US (EVEN IF OTHER PARTIES OR OTHER CLAIMS ARE INCLUDED IN SUCH LITIGATION), ALL OF THE PARTIES WAIVE THEIR RIGHT TO A TRIAL BY JURY. THIS WAIVER WILL APPLY TO ALL CAUSES OF ACTION THAT ARE OR MIGHT BE INCLUDED IN SUCH ACTION, INCLUDING CLAIMS RELATED TO THE ENFORCEMENT OR INTERPRETATION OF THIS AGREEMENT, ALLEGATIONS OF STATE OR FEDERAL STATUTORY VIOLATIONS, FRAUD, MISREPRESENTATION, OR SIMILAR CAUSES OF ACTION, AND IN CONNECTION WITH ANY LEGAL ACTION INITIATED FOR THE RECOVERY OF DAMAGES BETWEEN OR AMONG US OR BETWEEN OR AMONG ANY OF OUR OWNERS, AFFILIATES, OFFICERS, EMPLOYEES OR AGENTS.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5.20        </w:t>
      </w:r>
      <w:r>
        <w:rPr>
          <w:rFonts w:ascii="Times New Roman" w:hAnsi="Times New Roman"/>
          <w:b/>
          <w:caps w:val="false"/>
          <w:smallCaps w:val="false"/>
          <w:sz w:val="20"/>
          <w:u w:val="single"/>
        </w:rPr>
        <w:t>Waiver</w:t>
      </w:r>
      <w:r>
        <w:rPr>
          <w:rFonts w:ascii="Times New Roman" w:hAnsi="Times New Roman"/>
          <w:caps w:val="false"/>
          <w:smallCaps w:val="false"/>
          <w:sz w:val="20"/>
        </w:rPr>
        <w:t>. The Grantee acknowledges that a waiver by the Company of a breach of any provision of this Agreement shall not operate or be construed as a waiver of any other provision of this Agreement, or of any subsequent breach by the Grantee.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5.21        </w:t>
      </w:r>
      <w:r>
        <w:rPr>
          <w:rFonts w:ascii="Times New Roman" w:hAnsi="Times New Roman"/>
          <w:b/>
          <w:caps w:val="false"/>
          <w:smallCaps w:val="false"/>
          <w:sz w:val="20"/>
          <w:u w:val="single"/>
        </w:rPr>
        <w:t>Signature in Counterparts</w:t>
      </w:r>
      <w:r>
        <w:rPr>
          <w:rFonts w:ascii="Times New Roman" w:hAnsi="Times New Roman"/>
          <w:caps w:val="false"/>
          <w:smallCaps w:val="false"/>
          <w:sz w:val="20"/>
        </w:rPr>
        <w:t>. This Agreement may be signed in counterparts, each of which shall be an original, with the same effect as if the signatures thereto and hereto were upon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5.22        </w:t>
      </w:r>
      <w:r>
        <w:rPr>
          <w:rFonts w:ascii="Times New Roman" w:hAnsi="Times New Roman"/>
          <w:b/>
          <w:caps w:val="false"/>
          <w:smallCaps w:val="false"/>
          <w:sz w:val="20"/>
          <w:u w:val="single"/>
        </w:rPr>
        <w:t>Amendments and Termination</w:t>
      </w:r>
      <w:r>
        <w:rPr>
          <w:rFonts w:ascii="Times New Roman" w:hAnsi="Times New Roman"/>
          <w:caps w:val="false"/>
          <w:smallCaps w:val="false"/>
          <w:sz w:val="20"/>
        </w:rPr>
        <w:t>. To the extent permitted by the Plan, this Agreement may be wholly or partially amended, altered or terminated at any time or from time to time by the Administrator or the Board, but no amendment, alteration or termination shall be made that would materially impair the rights of a Grantee under this Restricted Stock Unit Award Agreement without such Grantee’s consent.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u w:val="single"/>
        </w:rPr>
        <w:t>ATTACHMENT A</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 2022 OMNIBUS EQUITY INCENTIVE PLAN</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RESTRICTED STOCK UNIT</w:t>
      </w:r>
      <w:r>
        <w:rPr>
          <w:rFonts w:ascii="Times New Roman" w:hAnsi="Times New Roman"/>
          <w:caps w:val="false"/>
          <w:smallCaps w:val="false"/>
          <w:sz w:val="20"/>
        </w:rPr>
        <w:t xml:space="preserve"> </w:t>
      </w:r>
    </w:p>
    <w:p>
      <w:pPr>
        <w:pStyle w:val="TextBody"/>
        <w:bidi w:val="0"/>
        <w:ind w:left="0" w:right="0" w:hanging="0"/>
        <w:jc w:val="left"/>
        <w:rPr>
          <w:caps w:val="false"/>
          <w:smallCaps w:val="false"/>
        </w:rPr>
      </w:pPr>
      <w:r>
        <w:rPr>
          <w:caps w:val="false"/>
          <w:smallCaps w:val="false"/>
        </w:rPr>
        <w:t> </w:t>
      </w:r>
    </w:p>
    <w:p>
      <w:pPr>
        <w:pStyle w:val="TextBody"/>
        <w:bidi w:val="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DEFERRAL ELECTION FORM</w:t>
      </w:r>
      <w:r>
        <w:rPr>
          <w:rFonts w:ascii="Times New Roman" w:hAnsi="Times New Roman"/>
          <w:b/>
          <w:caps w:val="false"/>
          <w:smallCaps w:val="false"/>
          <w:position w:val="7"/>
          <w:sz w:val="16"/>
          <w:sz w:val="20"/>
        </w:rPr>
        <w:t>1</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i/>
          <w:caps w:val="false"/>
          <w:smallCaps w:val="false"/>
          <w:sz w:val="20"/>
        </w:rPr>
        <w:t>FOR THIS DEFERRAL ELECTION TO BE EFFECTIVE, IT MUST BE RECEIVED BY THE COMPANY ON THE EFFECTIVE DATE (DATE RESTRICTED UNIT AGREEMENT SIGNED BY BOTH PARTIES), OR TO THE EXTENT THAT NONE OF THE RESTRICTED STOCK UNITS VEST WITHIN 12 MONTHS OF THE EFFECTIVE DATE, NO LATER THAN 30 DAYS FOLLOWING THE GRANT NOTICE DATE.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tbl>
      <w:tblPr>
        <w:tblW w:w="3077" w:type="dxa"/>
        <w:jc w:val="left"/>
        <w:tblInd w:w="0" w:type="dxa"/>
        <w:tblLayout w:type="fixed"/>
        <w:tblCellMar>
          <w:top w:w="28" w:type="dxa"/>
          <w:left w:w="28" w:type="dxa"/>
          <w:bottom w:w="28" w:type="dxa"/>
          <w:right w:w="28" w:type="dxa"/>
        </w:tblCellMar>
      </w:tblPr>
      <w:tblGrid>
        <w:gridCol w:w="301"/>
        <w:gridCol w:w="2776"/>
      </w:tblGrid>
      <w:tr>
        <w:trPr/>
        <w:tc>
          <w:tcPr>
            <w:tcW w:w="3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A.</w:t>
            </w:r>
          </w:p>
        </w:tc>
        <w:tc>
          <w:tcPr>
            <w:tcW w:w="277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PARTICIPANT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rPr>
        <w:t>Name:</w:t>
      </w:r>
      <w:r>
        <w:rPr>
          <w:rFonts w:ascii="Times New Roman" w:hAnsi="Times New Roman"/>
          <w:caps w:val="false"/>
          <w:smallCaps w:val="false"/>
          <w:sz w:val="20"/>
        </w:rPr>
        <w:t>                  </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720" w:right="0" w:hanging="0"/>
        <w:jc w:val="left"/>
        <w:rPr>
          <w:rFonts w:ascii="Times New Roman" w:hAnsi="Times New Roman"/>
          <w:caps w:val="false"/>
          <w:smallCaps w:val="false"/>
          <w:sz w:val="20"/>
        </w:rPr>
      </w:pPr>
      <w:r>
        <w:rPr>
          <w:rFonts w:ascii="Times New Roman" w:hAnsi="Times New Roman"/>
          <w:b/>
          <w:caps w:val="false"/>
          <w:smallCaps w:val="false"/>
          <w:sz w:val="20"/>
        </w:rPr>
        <w:t>Address:</w:t>
      </w:r>
      <w:r>
        <w:rPr>
          <w:rFonts w:ascii="Times New Roman" w:hAnsi="Times New Roman"/>
          <w:caps w:val="false"/>
          <w:smallCaps w:val="false"/>
          <w:sz w:val="20"/>
        </w:rPr>
        <w:t>         </w:t>
      </w:r>
    </w:p>
    <w:p>
      <w:pPr>
        <w:pStyle w:val="TextBody"/>
        <w:bidi w:val="0"/>
        <w:spacing w:before="0" w:after="0"/>
        <w:ind w:left="0" w:right="0" w:firstLine="360"/>
        <w:jc w:val="left"/>
        <w:rPr>
          <w:caps w:val="false"/>
          <w:smallCaps w:val="false"/>
        </w:rPr>
      </w:pPr>
      <w:r>
        <w:rPr>
          <w:caps w:val="false"/>
          <w:smallCaps w:val="false"/>
        </w:rPr>
        <w:t> </w:t>
      </w:r>
    </w:p>
    <w:tbl>
      <w:tblPr>
        <w:tblW w:w="2447" w:type="dxa"/>
        <w:jc w:val="left"/>
        <w:tblInd w:w="0" w:type="dxa"/>
        <w:tblLayout w:type="fixed"/>
        <w:tblCellMar>
          <w:top w:w="28" w:type="dxa"/>
          <w:left w:w="28" w:type="dxa"/>
          <w:bottom w:w="28" w:type="dxa"/>
          <w:right w:w="28" w:type="dxa"/>
        </w:tblCellMar>
      </w:tblPr>
      <w:tblGrid>
        <w:gridCol w:w="301"/>
        <w:gridCol w:w="2146"/>
      </w:tblGrid>
      <w:tr>
        <w:trPr/>
        <w:tc>
          <w:tcPr>
            <w:tcW w:w="3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w:t>
            </w:r>
          </w:p>
        </w:tc>
        <w:tc>
          <w:tcPr>
            <w:tcW w:w="2146"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DEFERRAL ELECTION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For each share of Common Stock to be issued to me pursuant to the Restricted Stock Unit Award Agreement effective _______________(insert the Grant Date), I hereby irrevocably elect to defer the receipt of such Common Stock as set forth below.</w:t>
      </w:r>
    </w:p>
    <w:p>
      <w:pPr>
        <w:pStyle w:val="TextBody"/>
        <w:bidi w:val="0"/>
        <w:spacing w:before="0" w:after="0"/>
        <w:ind w:left="0" w:right="0" w:hanging="0"/>
        <w:jc w:val="left"/>
        <w:rPr>
          <w:caps w:val="false"/>
          <w:smallCaps w:val="false"/>
        </w:rPr>
      </w:pPr>
      <w:r>
        <w:rPr>
          <w:caps w:val="false"/>
          <w:smallCaps w:val="false"/>
        </w:rPr>
        <w:t> </w:t>
      </w:r>
    </w:p>
    <w:tbl>
      <w:tblPr>
        <w:tblW w:w="2612" w:type="dxa"/>
        <w:jc w:val="left"/>
        <w:tblInd w:w="0" w:type="dxa"/>
        <w:tblLayout w:type="fixed"/>
        <w:tblCellMar>
          <w:top w:w="28" w:type="dxa"/>
          <w:left w:w="28" w:type="dxa"/>
          <w:bottom w:w="28" w:type="dxa"/>
          <w:right w:w="28" w:type="dxa"/>
        </w:tblCellMar>
      </w:tblPr>
      <w:tblGrid>
        <w:gridCol w:w="301"/>
        <w:gridCol w:w="2311"/>
      </w:tblGrid>
      <w:tr>
        <w:trPr/>
        <w:tc>
          <w:tcPr>
            <w:tcW w:w="301"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w:t>
            </w:r>
          </w:p>
        </w:tc>
        <w:tc>
          <w:tcPr>
            <w:tcW w:w="2311"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STOCK ISSUANCE DATE</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As Restricted Stock Units vest under your Award, the Company will issue you shares of Common Stock with respect to such vested Restricted Stock Units as soon as reasonably practical after (but no later than 60 days after) the Delivery Date. If you elect a different date, Common Stock will generally be issued to you on such date but only to the extent your Restricted Stock Units are vested and additional shares of Common Stock (if any) will be issued to you when any remaining Restricted Stock Units vest.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I hereby elect to receive my shares of Common Stock on the earlier of (check all that apply):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1. ☐         _________________________________, 20____; (enter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2. ☐ my death;</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3. ☐ my Disability (as defined in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4. ☐ a Change in Control (as defined in the Plan); and/or</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720" w:right="0" w:hanging="0"/>
        <w:jc w:val="both"/>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position w:val="7"/>
          <w:sz w:val="16"/>
          <w:sz w:val="20"/>
        </w:rPr>
        <w:t>1</w:t>
      </w:r>
      <w:r>
        <w:rPr>
          <w:rFonts w:ascii="Times New Roman" w:hAnsi="Times New Roman"/>
          <w:caps w:val="false"/>
          <w:smallCaps w:val="false"/>
          <w:sz w:val="20"/>
        </w:rPr>
        <w:t xml:space="preserve"> Capitalized terms not defined herein shall have the meaning ascribed thereto in the Fluent, Inc. 2022 Omnibus Equity Incentive Plan (as amended to date, the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5. ☐ my “separation from service” (as defined in Code Section 409A) with the Company, if applicable.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To the extent you are a “specified employee” for purposes of Code Section 409A and to the extent Section 409A is applicable to deferral of receipt of Common Stock pursuant to this Deferral Election Form (the “Form”), notwithstanding any contrary provision which exists in the Plan or the Agreement, your distribution will be delayed for a period of 6 months as required by Code Section 409A.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720" w:right="0" w:hanging="0"/>
        <w:jc w:val="both"/>
        <w:rPr>
          <w:rFonts w:ascii="Times New Roman" w:hAnsi="Times New Roman"/>
          <w:caps w:val="false"/>
          <w:smallCaps w:val="false"/>
          <w:sz w:val="20"/>
        </w:rPr>
      </w:pPr>
      <w:r>
        <w:rPr>
          <w:rFonts w:ascii="Times New Roman" w:hAnsi="Times New Roman"/>
          <w:caps w:val="false"/>
          <w:smallCaps w:val="false"/>
          <w:sz w:val="20"/>
        </w:rPr>
        <w:t>This Form is subject to all the terms, conditions and provisions of the Plan and the Agreement including, without limitation, the amendment provisions thereof. The Plan and the Agreement are incorporated herein by reference. If and to the extent that this Form conflicts or is inconsistent with the terms, conditions and provisions of the Plan or the Agreement, the Plan and the Agreement shall control, and this Form shall be deemed to be modified accordingly.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SIGNATURE:</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423" w:type="dxa"/>
        <w:jc w:val="left"/>
        <w:tblInd w:w="0" w:type="dxa"/>
        <w:tblLayout w:type="fixed"/>
        <w:tblCellMar>
          <w:top w:w="0" w:type="dxa"/>
          <w:left w:w="0" w:type="dxa"/>
          <w:bottom w:w="28" w:type="dxa"/>
          <w:right w:w="0" w:type="dxa"/>
        </w:tblCellMar>
      </w:tblPr>
      <w:tblGrid>
        <w:gridCol w:w="586"/>
        <w:gridCol w:w="146"/>
        <w:gridCol w:w="691"/>
      </w:tblGrid>
      <w:tr>
        <w:trPr/>
        <w:tc>
          <w:tcPr>
            <w:tcW w:w="586" w:type="dxa"/>
            <w:tcBorders>
              <w:bottom w:val="single" w:sz="2" w:space="0" w:color="000000"/>
            </w:tcBorders>
            <w:vAlign w:val="center"/>
          </w:tcPr>
          <w:p>
            <w:pPr>
              <w:pStyle w:val="TableContents"/>
              <w:bidi w:val="0"/>
              <w:spacing w:before="0" w:after="0"/>
              <w:ind w:left="0" w:right="0" w:hanging="0"/>
              <w:jc w:val="left"/>
              <w:rPr/>
            </w:pPr>
            <w:r>
              <w:rPr/>
              <w:t> </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691" w:type="dxa"/>
            <w:tcBorders>
              <w:bottom w:val="single" w:sz="2" w:space="0" w:color="000000"/>
            </w:tcBorders>
            <w:vAlign w:val="center"/>
          </w:tcPr>
          <w:p>
            <w:pPr>
              <w:pStyle w:val="TableContents"/>
              <w:bidi w:val="0"/>
              <w:spacing w:before="0" w:after="0"/>
              <w:ind w:left="0" w:right="0" w:hanging="0"/>
              <w:jc w:val="center"/>
              <w:rPr/>
            </w:pPr>
            <w:r>
              <w:rPr/>
              <w:t> </w:t>
            </w:r>
            <w:r>
              <w:rPr>
                <w:rFonts w:ascii="Times New Roman" w:hAnsi="Times New Roman"/>
                <w:sz w:val="20"/>
              </w:rPr>
              <w:t>/        /</w:t>
            </w:r>
          </w:p>
        </w:tc>
      </w:tr>
      <w:tr>
        <w:trPr/>
        <w:tc>
          <w:tcPr>
            <w:tcW w:w="586" w:type="dxa"/>
            <w:tcBorders/>
            <w:tcMar>
              <w:top w:w="28" w:type="dxa"/>
              <w:left w:w="28" w:type="dxa"/>
              <w:right w:w="28"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Name</w:t>
            </w:r>
          </w:p>
        </w:tc>
        <w:tc>
          <w:tcPr>
            <w:tcW w:w="146" w:type="dxa"/>
            <w:tcBorders/>
            <w:tcMar>
              <w:top w:w="28" w:type="dxa"/>
              <w:left w:w="28" w:type="dxa"/>
              <w:right w:w="28" w:type="dxa"/>
            </w:tcMar>
            <w:vAlign w:val="center"/>
          </w:tcPr>
          <w:p>
            <w:pPr>
              <w:pStyle w:val="TableContents"/>
              <w:bidi w:val="0"/>
              <w:spacing w:before="0" w:after="0"/>
              <w:ind w:left="0" w:right="0" w:hanging="0"/>
              <w:jc w:val="left"/>
              <w:rPr/>
            </w:pPr>
            <w:r>
              <w:rPr/>
              <w:t> </w:t>
            </w:r>
          </w:p>
        </w:tc>
        <w:tc>
          <w:tcPr>
            <w:tcW w:w="691" w:type="dxa"/>
            <w:tcBorders/>
            <w:tcMar>
              <w:top w:w="28" w:type="dxa"/>
              <w:left w:w="28" w:type="dxa"/>
              <w:right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Date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260"/>
        <w:jc w:val="left"/>
        <w:rPr>
          <w:caps w:val="false"/>
          <w:smallCaps w:val="false"/>
        </w:rPr>
      </w:pPr>
      <w:r>
        <w:rPr>
          <w:caps w:val="false"/>
          <w:smallCaps w:val="false"/>
        </w:rPr>
        <w:t> </w:t>
      </w:r>
    </w:p>
    <w:p>
      <w:pPr>
        <w:pStyle w:val="TextBody"/>
        <w:bidi w:val="0"/>
        <w:jc w:val="center"/>
        <w:rPr>
          <w:rFonts w:ascii="Times New Roman" w:hAnsi="Times New Roman"/>
          <w:caps w:val="false"/>
          <w:smallCaps w:val="false"/>
          <w:sz w:val="20"/>
        </w:rPr>
      </w:pPr>
      <w:r>
        <w:rPr>
          <w:rFonts w:ascii="Times New Roman" w:hAnsi="Times New Roman"/>
          <w:caps w:val="false"/>
          <w:smallCaps w:val="false"/>
          <w:sz w:val="20"/>
        </w:rPr>
        <w:t>-9-</w:t>
      </w:r>
    </w:p>
    <w:p>
      <w:pPr>
        <w:pStyle w:val="TextBody"/>
        <w:bidi w:val="0"/>
        <w:spacing w:before="0" w:after="0"/>
        <w:ind w:left="0" w:right="0" w:hanging="0"/>
        <w:jc w:val="right"/>
        <w:rPr>
          <w:rFonts w:ascii="Times New Roman;Times;serif" w:hAnsi="Times New Roman;Times;serif"/>
          <w:b/>
          <w:sz w:val="20"/>
        </w:rPr>
      </w:pPr>
      <w:bookmarkStart w:id="23" w:name="ex_1000495.htm"/>
      <w:bookmarkStart w:id="24" w:name="ksex_1000495"/>
      <w:bookmarkEnd w:id="23"/>
      <w:bookmarkEnd w:id="24"/>
      <w:r>
        <w:rPr>
          <w:rFonts w:ascii="Times New Roman;Times;serif" w:hAnsi="Times New Roman;Times;serif"/>
          <w:b/>
          <w:sz w:val="20"/>
        </w:rPr>
        <w:t>Exhibit 10.2</w:t>
      </w:r>
      <w:r>
        <w:br w:type="page"/>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AMENDMENT NO. 2</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TO</w:t>
      </w:r>
      <w:r>
        <w:rPr>
          <w:rFonts w:ascii="Times New Roman" w:hAnsi="Times New Roman"/>
          <w:caps w:val="false"/>
          <w:smallCaps w:val="false"/>
          <w:sz w:val="20"/>
        </w:rPr>
        <w:t xml:space="preserve">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FLUENT, INC.</w:t>
      </w:r>
      <w:r>
        <w:rPr>
          <w:rFonts w:ascii="Times New Roman" w:hAnsi="Times New Roman"/>
          <w:caps w:val="false"/>
          <w:smallCaps w:val="false"/>
          <w:sz w:val="20"/>
        </w:rPr>
        <w:t xml:space="preserve"> </w:t>
        <w:br/>
      </w:r>
      <w:r>
        <w:rPr>
          <w:rFonts w:ascii="Times New Roman" w:hAnsi="Times New Roman"/>
          <w:b/>
          <w:caps w:val="false"/>
          <w:smallCaps w:val="false"/>
          <w:sz w:val="20"/>
        </w:rPr>
        <w:t>2022 OMNIBUS EQUITY INCENTIVE PLAN</w:t>
      </w:r>
      <w:r>
        <w:rPr>
          <w:rFonts w:ascii="Times New Roman" w:hAnsi="Times New Roman"/>
          <w:caps w:val="false"/>
          <w:smallCaps w:val="false"/>
          <w:sz w:val="20"/>
        </w:rPr>
        <w:t xml:space="preserv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Fluent, Inc., a Delaware corporation (the “</w:t>
      </w:r>
      <w:r>
        <w:rPr>
          <w:rFonts w:ascii="Times New Roman" w:hAnsi="Times New Roman"/>
          <w:caps w:val="false"/>
          <w:smallCaps w:val="false"/>
          <w:sz w:val="20"/>
          <w:u w:val="single"/>
        </w:rPr>
        <w:t>Company</w:t>
      </w:r>
      <w:r>
        <w:rPr>
          <w:rFonts w:ascii="Times New Roman" w:hAnsi="Times New Roman"/>
          <w:caps w:val="false"/>
          <w:smallCaps w:val="false"/>
          <w:sz w:val="20"/>
        </w:rPr>
        <w:t>”), hereby amends its 2022 Omnibus Equity Incentive Plan (the “</w:t>
      </w:r>
      <w:r>
        <w:rPr>
          <w:rFonts w:ascii="Times New Roman" w:hAnsi="Times New Roman"/>
          <w:caps w:val="false"/>
          <w:smallCaps w:val="false"/>
          <w:sz w:val="20"/>
          <w:u w:val="single"/>
        </w:rPr>
        <w:t>Plan</w:t>
      </w:r>
      <w:r>
        <w:rPr>
          <w:rFonts w:ascii="Times New Roman" w:hAnsi="Times New Roman"/>
          <w:caps w:val="false"/>
          <w:smallCaps w:val="false"/>
          <w:sz w:val="20"/>
        </w:rPr>
        <w:t>”) as set forth below, which amendments shall be effective as of the date set forth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4(a) of the Plan shall be amended and restated in its entirety to read: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 xml:space="preserve">(a) Subject to Section 5 hereof, the maximum number of shares of Common Stock that are reserved and available for issuance pursuant to Awards granted under the Plan shall be equal to the sum of (i) 5,566,666 shares, plus (ii) the number of shares of Common Stock reserved, but unissued under the 2018 Plan; </w:t>
      </w:r>
      <w:r>
        <w:rPr>
          <w:rFonts w:ascii="Times New Roman" w:hAnsi="Times New Roman"/>
          <w:caps w:val="false"/>
          <w:smallCaps w:val="false"/>
          <w:sz w:val="20"/>
          <w:u w:val="single"/>
        </w:rPr>
        <w:t>provided</w:t>
      </w:r>
      <w:r>
        <w:rPr>
          <w:rFonts w:ascii="Times New Roman" w:hAnsi="Times New Roman"/>
          <w:caps w:val="false"/>
          <w:smallCaps w:val="false"/>
          <w:sz w:val="20"/>
        </w:rPr>
        <w:t xml:space="preserve">, </w:t>
      </w:r>
      <w:r>
        <w:rPr>
          <w:rFonts w:ascii="Times New Roman" w:hAnsi="Times New Roman"/>
          <w:caps w:val="false"/>
          <w:smallCaps w:val="false"/>
          <w:sz w:val="20"/>
          <w:u w:val="single"/>
        </w:rPr>
        <w:t>that</w:t>
      </w:r>
      <w:r>
        <w:rPr>
          <w:rFonts w:ascii="Times New Roman" w:hAnsi="Times New Roman"/>
          <w:caps w:val="false"/>
          <w:smallCaps w:val="false"/>
          <w:sz w:val="20"/>
        </w:rPr>
        <w:t>, shares of Common Stock issued under the Plan with respect to an Exempt Award shall not count against such share limit. Following the Effective Date, no further awards shall be issued under the Prior Plans, but all awards under the Prior Plans which are outstanding as of the Effective Date (including any Grandfathered Arrangement) shall continue to be governed by the terms, conditions and procedures set forth in the Prior Plans and any applicable award agreement.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Section 4(c) of the Plan shall be amended and restated in its entirety to read: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(c) No more than 5,566,666 Shares shall be issued pursuant to the exercise of ISOs.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All capitalized terms used herein and not otherwise defined shall have the respective meanings ascribed to them in the Plan. Except as specifically provided herein, the Plan shall remain in full force and effect in accordance with all of the terms and conditions thereof except that the Plan is hereby amended in all other respects, if any, necessary to conform with the intent of the amendments set forth in this Amendment No. 2. Upon the effectiveness of this Amendment No. 2, each reference in the Plan to “the Plan,” “hereunder,” “herein,” or words of similar import shall mean and be a reference to the Plan as amended by this Amendment No.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Each provision of this Amendment No. 2 shall be considered severable and if for any reason any provision or provisions herein are determined to be invalid, unenforceable or illegal under any existing or future law, such invalidity, unenforceability or illegality shall not impair the operation of or affect those portions of this Amendment No. 2 that are valid, enforceable and legal.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This Amendment No. 2 shall be governed in accordance with the laws of Delaware.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 w:hAnsi="Times New Roman"/>
          <w:caps w:val="false"/>
          <w:smallCaps w:val="false"/>
          <w:sz w:val="20"/>
        </w:rPr>
      </w:pPr>
      <w:r>
        <w:rPr>
          <w:rFonts w:ascii="Times New Roman" w:hAnsi="Times New Roman"/>
          <w:caps w:val="false"/>
          <w:smallCaps w:val="false"/>
          <w:sz w:val="20"/>
        </w:rPr>
        <w:t>The Company has caused this Amendment No. 2 to be executed effective as of June 17, 2026.</w:t>
      </w:r>
    </w:p>
    <w:p>
      <w:pPr>
        <w:pStyle w:val="TextBody"/>
        <w:bidi w:val="0"/>
        <w:spacing w:before="0" w:after="0"/>
        <w:ind w:left="0" w:right="0" w:hanging="0"/>
        <w:jc w:val="right"/>
        <w:rPr>
          <w:rFonts w:ascii="Times New Roman;Times;serif" w:hAnsi="Times New Roman;Times;serif"/>
          <w:sz w:val="20"/>
        </w:rPr>
      </w:pPr>
      <w:bookmarkStart w:id="25" w:name="ex_973902.htm"/>
      <w:bookmarkStart w:id="26" w:name="ksex_973902"/>
      <w:bookmarkEnd w:id="25"/>
      <w:bookmarkEnd w:id="26"/>
      <w:r>
        <w:rPr>
          <w:rFonts w:ascii="Times New Roman;Times;serif" w:hAnsi="Times New Roman;Times;serif"/>
          <w:b/>
          <w:sz w:val="20"/>
        </w:rPr>
        <w:t>Exhibit 31.1</w:t>
      </w:r>
      <w:r>
        <w:rPr>
          <w:rFonts w:ascii="Times New Roman;Times;serif" w:hAnsi="Times New Roman;Times;serif"/>
          <w:sz w:val="20"/>
        </w:rPr>
        <w:t xml:space="preserve">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 OF PRINCIPAL EXECUTIVE OFFICER</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PURSUANT TO SECTION 302 OF THE SARBANES-OXLEY ACT OF 2002</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Donald Patrick, certify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Fluent, Inc.;</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9939"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9939"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9939"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942"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942"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942"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34"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275" w:type="dxa"/>
        <w:jc w:val="left"/>
        <w:tblInd w:w="0" w:type="dxa"/>
        <w:tblLayout w:type="fixed"/>
        <w:tblCellMar>
          <w:top w:w="0" w:type="dxa"/>
          <w:left w:w="0" w:type="dxa"/>
          <w:bottom w:w="0" w:type="dxa"/>
          <w:right w:w="0" w:type="dxa"/>
        </w:tblCellMar>
      </w:tblPr>
      <w:tblGrid>
        <w:gridCol w:w="1610"/>
        <w:gridCol w:w="320"/>
        <w:gridCol w:w="2345"/>
      </w:tblGrid>
      <w:tr>
        <w:trPr/>
        <w:tc>
          <w:tcPr>
            <w:tcW w:w="1610" w:type="dxa"/>
            <w:tcBorders/>
            <w:vAlign w:val="center"/>
          </w:tcPr>
          <w:p>
            <w:pPr>
              <w:pStyle w:val="TableContents"/>
              <w:bidi w:val="0"/>
              <w:spacing w:before="0" w:after="283"/>
              <w:jc w:val="left"/>
              <w:rPr/>
            </w:pPr>
            <w:r>
              <w:rPr/>
              <w:t>August 13,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Donald Patrick</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Donald Patrick</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sz w:val="20"/>
        </w:rPr>
      </w:pPr>
      <w:bookmarkStart w:id="27" w:name="ex_973903.htm"/>
      <w:bookmarkStart w:id="28" w:name="ksex_973903"/>
      <w:bookmarkEnd w:id="27"/>
      <w:bookmarkEnd w:id="28"/>
      <w:r>
        <w:rPr>
          <w:rFonts w:ascii="Times New Roman;Times;serif" w:hAnsi="Times New Roman;Times;serif"/>
          <w:b/>
          <w:sz w:val="20"/>
        </w:rPr>
        <w:t>Exhibit 31.2</w:t>
      </w:r>
      <w:r>
        <w:rPr>
          <w:rFonts w:ascii="Times New Roman;Times;serif" w:hAnsi="Times New Roman;Times;serif"/>
          <w:sz w:val="20"/>
        </w:rPr>
        <w:t xml:space="preserve"> </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 OF PRINCIPAL FINANCIAL OFFICER</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PURSUANT TO SECTION 302 OF THE SARBANES-OXLEY ACT OF 2002</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Ryan Perfit, certify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6"/>
        <w:gridCol w:w="9939"/>
      </w:tblGrid>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I have reviewed this Quarterly Report on Form 10-Q of Fluent, Inc.;</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9939"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9939"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(3)</w:t>
            </w:r>
          </w:p>
        </w:tc>
        <w:tc>
          <w:tcPr>
            <w:tcW w:w="9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pPr>
            <w:r>
              <w:rPr/>
              <w:t> </w:t>
            </w:r>
          </w:p>
        </w:tc>
        <w:tc>
          <w:tcPr>
            <w:tcW w:w="9939"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(4)</w:t>
            </w:r>
          </w:p>
        </w:tc>
        <w:tc>
          <w:tcPr>
            <w:tcW w:w="993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942"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942"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w:t>
            </w:r>
          </w:p>
        </w:tc>
        <w:tc>
          <w:tcPr>
            <w:tcW w:w="99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pPr>
            <w:r>
              <w:rPr/>
              <w:t> </w:t>
            </w:r>
          </w:p>
        </w:tc>
        <w:tc>
          <w:tcPr>
            <w:tcW w:w="9942"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03"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w:t>
            </w:r>
          </w:p>
        </w:tc>
        <w:tc>
          <w:tcPr>
            <w:tcW w:w="9942"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09"/>
        <w:gridCol w:w="9936"/>
      </w:tblGrid>
      <w:tr>
        <w:trPr/>
        <w:tc>
          <w:tcPr>
            <w:tcW w:w="60" w:type="dxa"/>
            <w:tcBorders/>
            <w:vAlign w:val="center"/>
          </w:tcPr>
          <w:p>
            <w:pPr>
              <w:pStyle w:val="TableContents"/>
              <w:bidi w:val="0"/>
              <w:spacing w:before="0" w:after="0"/>
              <w:ind w:left="0" w:right="0" w:hanging="0"/>
              <w:jc w:val="left"/>
              <w:rPr/>
            </w:pPr>
            <w:r>
              <w:rPr/>
              <w:t> </w:t>
            </w:r>
          </w:p>
        </w:tc>
        <w:tc>
          <w:tcPr>
            <w:tcW w:w="209"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(5)</w:t>
            </w:r>
          </w:p>
        </w:tc>
        <w:tc>
          <w:tcPr>
            <w:tcW w:w="9936"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w:t>
            </w:r>
          </w:p>
        </w:tc>
        <w:tc>
          <w:tcPr>
            <w:tcW w:w="9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pPr>
            <w:r>
              <w:rPr/>
              <w:t> </w:t>
            </w:r>
          </w:p>
        </w:tc>
        <w:tc>
          <w:tcPr>
            <w:tcW w:w="9934"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11"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w:t>
            </w:r>
          </w:p>
        </w:tc>
        <w:tc>
          <w:tcPr>
            <w:tcW w:w="9934"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5565" w:type="dxa"/>
        <w:jc w:val="left"/>
        <w:tblInd w:w="0" w:type="dxa"/>
        <w:tblLayout w:type="fixed"/>
        <w:tblCellMar>
          <w:top w:w="0" w:type="dxa"/>
          <w:left w:w="0" w:type="dxa"/>
          <w:bottom w:w="0" w:type="dxa"/>
          <w:right w:w="0" w:type="dxa"/>
        </w:tblCellMar>
      </w:tblPr>
      <w:tblGrid>
        <w:gridCol w:w="1610"/>
        <w:gridCol w:w="320"/>
        <w:gridCol w:w="3635"/>
      </w:tblGrid>
      <w:tr>
        <w:trPr/>
        <w:tc>
          <w:tcPr>
            <w:tcW w:w="1610" w:type="dxa"/>
            <w:tcBorders/>
            <w:vAlign w:val="center"/>
          </w:tcPr>
          <w:p>
            <w:pPr>
              <w:pStyle w:val="TableContents"/>
              <w:bidi w:val="0"/>
              <w:spacing w:before="0" w:after="283"/>
              <w:jc w:val="left"/>
              <w:rPr/>
            </w:pPr>
            <w:r>
              <w:rPr/>
              <w:t>August 13,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Perfit</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Perfit</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hanging="0"/>
        <w:jc w:val="left"/>
        <w:rPr/>
      </w:pPr>
      <w:r>
        <w:rPr/>
        <w:t> </w:t>
      </w:r>
    </w:p>
    <w:p>
      <w:pPr>
        <w:pStyle w:val="TextBody"/>
        <w:bidi w:val="0"/>
        <w:spacing w:before="0" w:after="0"/>
        <w:ind w:left="0" w:right="0" w:hanging="0"/>
        <w:jc w:val="right"/>
        <w:rPr>
          <w:rFonts w:ascii="Times New Roman;Times;serif" w:hAnsi="Times New Roman;Times;serif"/>
          <w:sz w:val="20"/>
        </w:rPr>
      </w:pPr>
      <w:bookmarkStart w:id="29" w:name="ex_973904.htm"/>
      <w:bookmarkStart w:id="30" w:name="ksex_973904"/>
      <w:bookmarkEnd w:id="29"/>
      <w:bookmarkEnd w:id="30"/>
      <w:r>
        <w:rPr>
          <w:rFonts w:ascii="Times New Roman;Times;serif" w:hAnsi="Times New Roman;Times;serif"/>
          <w:b/>
          <w:sz w:val="20"/>
        </w:rPr>
        <w:t>Exhibit 32.1</w:t>
      </w:r>
      <w:r>
        <w:rPr>
          <w:rFonts w:ascii="Times New Roman;Times;serif" w:hAnsi="Times New Roman;Times;serif"/>
          <w:sz w:val="20"/>
        </w:rPr>
        <w:t xml:space="preserve">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 PURSUANT</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TO</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SECTION 906 OF THE SARBANES-OXLEY ACT OF 2002</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TextBody"/>
        <w:bidi w:val="0"/>
        <w:spacing w:before="0" w:after="0"/>
        <w:ind w:left="0" w:right="0" w:firstLine="555"/>
        <w:jc w:val="left"/>
        <w:rPr>
          <w:rFonts w:ascii="Times New Roman;Times;serif" w:hAnsi="Times New Roman;Times;serif"/>
          <w:sz w:val="20"/>
        </w:rPr>
      </w:pPr>
      <w:r>
        <w:rPr>
          <w:rFonts w:ascii="Times New Roman;Times;serif" w:hAnsi="Times New Roman;Times;serif"/>
          <w:sz w:val="20"/>
        </w:rPr>
        <w:t>In connection with the accompanying Quarterly Report on Form 10-Q of Fluent, Inc. for the quarter ended </w:t>
      </w:r>
      <w:bookmarkStart w:id="31" w:name="led28562F20214271622139051438"/>
      <w:bookmarkEnd w:id="31"/>
      <w:r>
        <w:rPr>
          <w:rFonts w:ascii="Times New Roman;Times;serif" w:hAnsi="Times New Roman;Times;serif"/>
          <w:sz w:val="20"/>
        </w:rPr>
        <w:t>June 30, 2026 (the “Report”), the undersigned hereby certifies in his capacity as Chief Executive Officer, pursuant to 18 U.S.C. Section 1350, as adopted pursuant to Section 906 of the Sarbanes-Oxley Act of 2002, to his knowledge and belief, that:</w:t>
      </w:r>
    </w:p>
    <w:p>
      <w:pPr>
        <w:pStyle w:val="TextBody"/>
        <w:bidi w:val="0"/>
        <w:spacing w:before="0" w:after="0"/>
        <w:ind w:left="0" w:right="0" w:firstLine="555"/>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991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Fluent, Inc.</w:t>
            </w:r>
          </w:p>
        </w:tc>
      </w:tr>
    </w:tbl>
    <w:p>
      <w:pPr>
        <w:pStyle w:val="TextBody"/>
        <w:bidi w:val="0"/>
        <w:spacing w:before="0" w:after="0"/>
        <w:ind w:left="0" w:right="0" w:hanging="0"/>
        <w:jc w:val="left"/>
        <w:rPr/>
      </w:pPr>
      <w:r>
        <w:rPr/>
        <w:t> </w:t>
      </w:r>
    </w:p>
    <w:tbl>
      <w:tblPr>
        <w:tblW w:w="4275" w:type="dxa"/>
        <w:jc w:val="left"/>
        <w:tblInd w:w="0" w:type="dxa"/>
        <w:tblLayout w:type="fixed"/>
        <w:tblCellMar>
          <w:top w:w="0" w:type="dxa"/>
          <w:left w:w="0" w:type="dxa"/>
          <w:bottom w:w="0" w:type="dxa"/>
          <w:right w:w="0" w:type="dxa"/>
        </w:tblCellMar>
      </w:tblPr>
      <w:tblGrid>
        <w:gridCol w:w="1610"/>
        <w:gridCol w:w="320"/>
        <w:gridCol w:w="2345"/>
      </w:tblGrid>
      <w:tr>
        <w:trPr/>
        <w:tc>
          <w:tcPr>
            <w:tcW w:w="1610" w:type="dxa"/>
            <w:tcBorders/>
            <w:vAlign w:val="center"/>
          </w:tcPr>
          <w:p>
            <w:pPr>
              <w:pStyle w:val="TableContents"/>
              <w:bidi w:val="0"/>
              <w:spacing w:before="0" w:after="283"/>
              <w:jc w:val="left"/>
              <w:rPr/>
            </w:pPr>
            <w:r>
              <w:rPr/>
              <w:t>August 13,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23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Donald Patrick</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Donald Patrick</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Executive Officer</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23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Executive Officer)</w:t>
            </w:r>
          </w:p>
        </w:tc>
      </w:tr>
    </w:tbl>
    <w:p>
      <w:pPr>
        <w:pStyle w:val="TextBody"/>
        <w:bidi w:val="0"/>
        <w:spacing w:before="0" w:after="0"/>
        <w:ind w:left="0" w:right="0" w:firstLine="555"/>
        <w:jc w:val="left"/>
        <w:rPr/>
      </w:pPr>
      <w:r>
        <w:rPr/>
        <w:t> </w:t>
      </w:r>
    </w:p>
    <w:p>
      <w:pPr>
        <w:pStyle w:val="TextBody"/>
        <w:bidi w:val="0"/>
        <w:spacing w:before="0" w:after="0"/>
        <w:ind w:left="0" w:right="0" w:hanging="0"/>
        <w:jc w:val="right"/>
        <w:rPr>
          <w:rFonts w:ascii="Times New Roman;Times;serif" w:hAnsi="Times New Roman;Times;serif"/>
          <w:sz w:val="20"/>
        </w:rPr>
      </w:pPr>
      <w:bookmarkStart w:id="32" w:name="ex_973905.htm"/>
      <w:bookmarkStart w:id="33" w:name="ksex_973905"/>
      <w:bookmarkEnd w:id="32"/>
      <w:bookmarkEnd w:id="33"/>
      <w:r>
        <w:rPr>
          <w:rFonts w:ascii="Times New Roman;Times;serif" w:hAnsi="Times New Roman;Times;serif"/>
          <w:b/>
          <w:sz w:val="20"/>
        </w:rPr>
        <w:t>Exhibit 32.2</w:t>
      </w:r>
      <w:r>
        <w:rPr>
          <w:rFonts w:ascii="Times New Roman;Times;serif" w:hAnsi="Times New Roman;Times;serif"/>
          <w:sz w:val="20"/>
        </w:rPr>
        <w:t xml:space="preserve"> </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CERTIFICATION PURSUANT</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TO</w:t>
      </w:r>
      <w:r>
        <w:rPr>
          <w:rFonts w:ascii="Times New Roman;Times;serif" w:hAnsi="Times New Roman;Times;serif"/>
          <w:sz w:val="20"/>
        </w:rPr>
        <w:t xml:space="preserve"> </w:t>
      </w:r>
    </w:p>
    <w:p>
      <w:pPr>
        <w:pStyle w:val="TextBody"/>
        <w:bidi w:val="0"/>
        <w:spacing w:before="0" w:after="0"/>
        <w:ind w:left="0" w:right="0" w:hanging="0"/>
        <w:jc w:val="center"/>
        <w:rPr>
          <w:rFonts w:ascii="Times New Roman;Times;serif" w:hAnsi="Times New Roman;Times;serif"/>
          <w:sz w:val="20"/>
        </w:rPr>
      </w:pPr>
      <w:r>
        <w:rPr>
          <w:rFonts w:ascii="Times New Roman;Times;serif" w:hAnsi="Times New Roman;Times;serif"/>
          <w:b/>
          <w:sz w:val="20"/>
        </w:rPr>
        <w:t>SECTION 906 OF THE SARBANES-OXLEY ACT OF 2002</w:t>
      </w:r>
      <w:r>
        <w:rPr>
          <w:rFonts w:ascii="Times New Roman;Times;serif" w:hAnsi="Times New Roman;Times;serif"/>
          <w:sz w:val="20"/>
        </w:rPr>
        <w:t xml:space="preserve"> </w:t>
      </w:r>
    </w:p>
    <w:p>
      <w:pPr>
        <w:pStyle w:val="TextBody"/>
        <w:bidi w:val="0"/>
        <w:spacing w:before="0" w:after="0"/>
        <w:ind w:left="0" w:right="0" w:hanging="0"/>
        <w:jc w:val="center"/>
        <w:rPr/>
      </w:pPr>
      <w:r>
        <w:rPr/>
        <w:t> </w:t>
      </w:r>
    </w:p>
    <w:p>
      <w:pPr>
        <w:pStyle w:val="TextBody"/>
        <w:bidi w:val="0"/>
        <w:spacing w:before="0" w:after="0"/>
        <w:ind w:left="0" w:right="0" w:firstLine="555"/>
        <w:jc w:val="left"/>
        <w:rPr>
          <w:rFonts w:ascii="Times New Roman;Times;serif" w:hAnsi="Times New Roman;Times;serif"/>
          <w:sz w:val="20"/>
        </w:rPr>
      </w:pPr>
      <w:r>
        <w:rPr>
          <w:rFonts w:ascii="Times New Roman;Times;serif" w:hAnsi="Times New Roman;Times;serif"/>
          <w:sz w:val="20"/>
        </w:rPr>
        <w:t>In connection with the accompanying Quarterly Report on Form 10-Q of Fluent, Inc. for the quarter ended </w:t>
      </w:r>
      <w:bookmarkStart w:id="34" w:name="led28562F20214271622139071539"/>
      <w:bookmarkEnd w:id="34"/>
      <w:r>
        <w:rPr>
          <w:rFonts w:ascii="Times New Roman;Times;serif" w:hAnsi="Times New Roman;Times;serif"/>
          <w:sz w:val="20"/>
        </w:rPr>
        <w:t>June 30, 2026 (the “Report”), the undersigned hereby certifies in his capacity as Chief Financial Officer, pursuant to 18 U.S.C. Section 1350, as adopted pursuant to Section 906 of the Sarbanes-Oxley Act of 2002, to his knowledge and belief, that:</w:t>
      </w:r>
    </w:p>
    <w:p>
      <w:pPr>
        <w:pStyle w:val="TextBody"/>
        <w:bidi w:val="0"/>
        <w:spacing w:before="0" w:after="0"/>
        <w:ind w:left="0" w:right="0" w:firstLine="555"/>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(1)</w:t>
            </w:r>
          </w:p>
        </w:tc>
        <w:tc>
          <w:tcPr>
            <w:tcW w:w="9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pPr>
            <w:r>
              <w:rPr/>
              <w:t> </w:t>
            </w:r>
          </w:p>
        </w:tc>
        <w:tc>
          <w:tcPr>
            <w:tcW w:w="9910" w:type="dxa"/>
            <w:tcBorders/>
            <w:vAlign w:val="center"/>
          </w:tcPr>
          <w:p>
            <w:pPr>
              <w:pStyle w:val="TableContents"/>
              <w:bidi w:val="0"/>
              <w:spacing w:before="0" w:after="0"/>
              <w:ind w:left="0" w:right="0" w:hanging="0"/>
              <w:jc w:val="left"/>
              <w:rPr/>
            </w:pPr>
            <w:r>
              <w:rPr/>
              <w:t> </w:t>
            </w:r>
          </w:p>
        </w:tc>
      </w:tr>
      <w:tr>
        <w:trPr/>
        <w:tc>
          <w:tcPr>
            <w:tcW w:w="60" w:type="dxa"/>
            <w:tcBorders/>
            <w:vAlign w:val="center"/>
          </w:tcPr>
          <w:p>
            <w:pPr>
              <w:pStyle w:val="TableContents"/>
              <w:bidi w:val="0"/>
              <w:spacing w:before="0" w:after="0"/>
              <w:ind w:left="0" w:right="0" w:hanging="0"/>
              <w:jc w:val="left"/>
              <w:rPr/>
            </w:pPr>
            <w:r>
              <w:rPr/>
              <w:t> </w:t>
            </w:r>
          </w:p>
        </w:tc>
        <w:tc>
          <w:tcPr>
            <w:tcW w:w="2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(2)</w:t>
            </w:r>
          </w:p>
        </w:tc>
        <w:tc>
          <w:tcPr>
            <w:tcW w:w="991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contained in the Report fairly presents, in all material respects, the financial condition and results of operations of Fluent, Inc.</w:t>
            </w:r>
          </w:p>
        </w:tc>
      </w:tr>
    </w:tbl>
    <w:p>
      <w:pPr>
        <w:pStyle w:val="TextBody"/>
        <w:bidi w:val="0"/>
        <w:spacing w:before="0" w:after="0"/>
        <w:ind w:left="0" w:right="0" w:hanging="0"/>
        <w:jc w:val="left"/>
        <w:rPr/>
      </w:pPr>
      <w:r>
        <w:rPr/>
        <w:t> </w:t>
      </w:r>
    </w:p>
    <w:tbl>
      <w:tblPr>
        <w:tblW w:w="5565" w:type="dxa"/>
        <w:jc w:val="left"/>
        <w:tblInd w:w="0" w:type="dxa"/>
        <w:tblLayout w:type="fixed"/>
        <w:tblCellMar>
          <w:top w:w="0" w:type="dxa"/>
          <w:left w:w="0" w:type="dxa"/>
          <w:bottom w:w="0" w:type="dxa"/>
          <w:right w:w="0" w:type="dxa"/>
        </w:tblCellMar>
      </w:tblPr>
      <w:tblGrid>
        <w:gridCol w:w="1610"/>
        <w:gridCol w:w="320"/>
        <w:gridCol w:w="3635"/>
      </w:tblGrid>
      <w:tr>
        <w:trPr/>
        <w:tc>
          <w:tcPr>
            <w:tcW w:w="1610" w:type="dxa"/>
            <w:tcBorders/>
            <w:vAlign w:val="center"/>
          </w:tcPr>
          <w:p>
            <w:pPr>
              <w:pStyle w:val="TableContents"/>
              <w:bidi w:val="0"/>
              <w:spacing w:before="0" w:after="283"/>
              <w:jc w:val="left"/>
              <w:rPr/>
            </w:pPr>
            <w:r>
              <w:rPr/>
              <w:t>August 13, 2026</w:t>
            </w:r>
          </w:p>
        </w:tc>
        <w:tc>
          <w:tcPr>
            <w:tcW w:w="320"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By:</w:t>
            </w:r>
          </w:p>
        </w:tc>
        <w:tc>
          <w:tcPr>
            <w:tcW w:w="363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/s/ Ryan Perfit</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Ryan Perfit</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Chief Financial Officer</w:t>
            </w:r>
          </w:p>
        </w:tc>
      </w:tr>
      <w:tr>
        <w:trPr/>
        <w:tc>
          <w:tcPr>
            <w:tcW w:w="1610" w:type="dxa"/>
            <w:tcBorders/>
            <w:vAlign w:val="center"/>
          </w:tcPr>
          <w:p>
            <w:pPr>
              <w:pStyle w:val="TableContents"/>
              <w:bidi w:val="0"/>
              <w:spacing w:before="0" w:after="0"/>
              <w:ind w:left="0" w:right="0" w:hanging="0"/>
              <w:jc w:val="left"/>
              <w:rPr/>
            </w:pPr>
            <w:r>
              <w:rPr/>
              <w:t> </w:t>
            </w:r>
          </w:p>
        </w:tc>
        <w:tc>
          <w:tcPr>
            <w:tcW w:w="320" w:type="dxa"/>
            <w:tcBorders/>
            <w:vAlign w:val="center"/>
          </w:tcPr>
          <w:p>
            <w:pPr>
              <w:pStyle w:val="TableContents"/>
              <w:bidi w:val="0"/>
              <w:spacing w:before="0" w:after="0"/>
              <w:ind w:left="0" w:right="0" w:hanging="0"/>
              <w:jc w:val="left"/>
              <w:rPr/>
            </w:pPr>
            <w:r>
              <w:rPr/>
              <w:t> </w:t>
            </w:r>
          </w:p>
        </w:tc>
        <w:tc>
          <w:tcPr>
            <w:tcW w:w="363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(Principal Financial and Accounting Officer)</w:t>
            </w:r>
          </w:p>
        </w:tc>
      </w:tr>
    </w:tbl>
    <w:p>
      <w:pPr>
        <w:pStyle w:val="TextBody"/>
        <w:bidi w:val="0"/>
        <w:spacing w:before="0" w:after="0"/>
        <w:ind w:left="0" w:right="0" w:firstLine="555"/>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Archives/edgar/data/1460329/000119312515106960/d897836dex31.htm" TargetMode="External"/><Relationship Id="rId3" Type="http://schemas.openxmlformats.org/officeDocument/2006/relationships/hyperlink" Target="http://www.sec.gov/Archives/edgar/data/1460329/000119312515106960/d897836dex32.htm" TargetMode="External"/><Relationship Id="rId4" Type="http://schemas.openxmlformats.org/officeDocument/2006/relationships/hyperlink" Target="http://www.sec.gov/Archives/edgar/data/1460329/000119312516718985/d250557dex31.htm" TargetMode="External"/><Relationship Id="rId5" Type="http://schemas.openxmlformats.org/officeDocument/2006/relationships/hyperlink" Target="http://www.sec.gov/Archives/edgar/data/0001460329/000119312518118750/d571788dex31.htm" TargetMode="External"/><Relationship Id="rId6" Type="http://schemas.openxmlformats.org/officeDocument/2006/relationships/hyperlink" Target="http://www.sec.gov/Archives/edgar/data/1460329/000143774924011817/ex_651854.htm" TargetMode="External"/><Relationship Id="rId7" Type="http://schemas.openxmlformats.org/officeDocument/2006/relationships/hyperlink" Target="http://www.sec.gov/Archives/edgar/data/0001460329/000146032919000004/fluentinc-proposedamen.htm"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30536</Words>
  <Characters>164439</Characters>
  <CharactersWithSpaces>198435</CharactersWithSpaces>
  <Paragraphs>8320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