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Perfit Ryan MacNab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Fluent, Inc.</w:t>
              </w:r>
            </w:hyperlink>
            <w:r>
              <w:rPr/>
              <w:t xml:space="preserve"> [ </w:t>
            </w:r>
            <w:r>
              <w:rPr>
                <w:rFonts w:ascii="Times;serif" w:hAnsi="Times;serif"/>
                <w:color w:val="0000FF"/>
                <w:sz w:val="24"/>
                <w:shd w:fill="FFFFFF" w:val="clear"/>
              </w:rPr>
              <w:t>FLNT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09/11/2024</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32,600</w:t>
            </w:r>
            <w:r>
              <w:rPr>
                <w:rFonts w:ascii="Times;serif" w:hAnsi="Times;serif"/>
                <w:color w:val="008000"/>
                <w:position w:val="7"/>
                <w:sz w:val="16"/>
                <w:sz w:val="20"/>
                <w:shd w:fill="FFFFFF" w:val="clear"/>
              </w:rPr>
              <w:t>(2)</w:t>
            </w:r>
            <w:r>
              <w:rPr/>
              <w:t xml:space="preserve"> </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were issued pursuant to the Issuer's 2022 Omnibus Equity Incentive Plan (the "Plan") and vest in three equal annual installments with the first tranche vesting on September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11, 2024, the Reporting Person filed a Form 4 which inadvertently reported, that following his acquisition of 25,000 RSUs, the Reporting Person owned 70,596 shares of common stock which amount did not reflect the Issuer's 1-for-6 reverse stock split effectuated on April 11, 2024. As reported in this amendment, following the acquisition of 25,000 RSUs, the Reporting Person owned 32,600 shares of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Perfit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369" TargetMode="External"/><Relationship Id="rId5" Type="http://schemas.openxmlformats.org/officeDocument/2006/relationships/hyperlink" Target="http://www.sec.gov/cgi-bin/browse-edgar?action=getcompany&amp;CIK=00014603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3603</Characters>
  <CharactersWithSpaces>4210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