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lnt20260608_8k.htm"/>
      <w:bookmarkStart w:id="1" w:name="ksflnt20260608_8k"/>
      <w:bookmarkStart w:id="2" w:name="flnt20260608_8k.htm"/>
      <w:bookmarkStart w:id="3" w:name="ksflnt20260608_8k"/>
      <w:bookmarkEnd w:id="2"/>
      <w:bookmarkEnd w:id="3"/>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CURRENT REPORT</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August 10,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FLUENT,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2345"/>
        <w:gridCol w:w="1145"/>
        <w:gridCol w:w="1550"/>
      </w:tblGrid>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001-37893</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77-0688094</w:t>
            </w:r>
          </w:p>
        </w:tc>
      </w:tr>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3380"/>
        <w:gridCol w:w="60"/>
        <w:gridCol w:w="920"/>
      </w:tblGrid>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 Vesey Street, 9th Floor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York, New York</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10282</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(646) 669-7272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 (b))</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 (c))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Securities registered pursuant to Section</w:t>
      </w:r>
      <w:r>
        <w:rPr>
          <w:rFonts w:ascii="Times New Roman" w:hAnsi="Times New Roman"/>
          <w:caps w:val="false"/>
          <w:smallCaps w:val="false"/>
          <w:sz w:val="20"/>
        </w:rPr>
        <w:t> </w:t>
      </w:r>
      <w:r>
        <w:rPr>
          <w:rFonts w:ascii="Times New Roman" w:hAnsi="Times New Roman"/>
          <w:b/>
          <w:caps w:val="false"/>
          <w:smallCaps w:val="false"/>
          <w:sz w:val="20"/>
        </w:rPr>
        <w:t>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195" w:type="dxa"/>
        <w:jc w:val="left"/>
        <w:tblInd w:w="0" w:type="dxa"/>
        <w:tblLayout w:type="fixed"/>
        <w:tblCellMar>
          <w:top w:w="0" w:type="dxa"/>
          <w:left w:w="0" w:type="dxa"/>
          <w:bottom w:w="28" w:type="dxa"/>
          <w:right w:w="0" w:type="dxa"/>
        </w:tblCellMar>
      </w:tblPr>
      <w:tblGrid>
        <w:gridCol w:w="3770"/>
        <w:gridCol w:w="60"/>
        <w:gridCol w:w="1610"/>
        <w:gridCol w:w="60"/>
        <w:gridCol w:w="3695"/>
      </w:tblGrid>
      <w:tr>
        <w:trPr/>
        <w:tc>
          <w:tcPr>
            <w:tcW w:w="37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77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$0.0005 par value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FLNT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w:t>
            </w:r>
            <w:r>
              <w:rPr>
                <w:rFonts w:ascii="Times New Roman" w:hAnsi="Times New Roman"/>
                <w:caps w:val="false"/>
                <w:smallCaps w:val="false"/>
                <w:sz w:val="20"/>
              </w:rPr>
              <w:t> </w:t>
            </w:r>
            <w:r>
              <w:rPr>
                <w:rFonts w:ascii="Times New Roman" w:hAnsi="Times New Roman"/>
                <w:b/>
                <w:caps w:val="false"/>
                <w:smallCaps w:val="false"/>
                <w:sz w:val="20"/>
              </w:rPr>
              <w:t>NASDAQ</w:t>
            </w:r>
            <w:r>
              <w:rPr>
                <w:rFonts w:ascii="Times New Roman" w:hAnsi="Times New Roman"/>
                <w:caps w:val="false"/>
                <w:smallCaps w:val="false"/>
                <w:sz w:val="20"/>
              </w:rPr>
              <w:t> </w:t>
            </w:r>
            <w:r>
              <w:rPr>
                <w:rFonts w:ascii="Times New Roman" w:hAnsi="Times New Roman"/>
                <w:b/>
                <w:caps w:val="false"/>
                <w:smallCaps w:val="false"/>
                <w:sz w:val="20"/>
              </w:rPr>
              <w:t>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Item 2.02 Results of Operations and Financial Condition.</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10, 2026, Fluent, Inc. issued a press release announcing second quarter 2026 financial results. A copy of the press release is furnished herewith as Exhibit 99.1.</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included herein and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Item 9.01 Financial Statements and Exhibits.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8635" w:type="dxa"/>
        <w:jc w:val="left"/>
        <w:tblInd w:w="0" w:type="dxa"/>
        <w:tblLayout w:type="fixed"/>
        <w:tblCellMar>
          <w:top w:w="0" w:type="dxa"/>
          <w:left w:w="0" w:type="dxa"/>
          <w:bottom w:w="28" w:type="dxa"/>
          <w:right w:w="0" w:type="dxa"/>
        </w:tblCellMar>
      </w:tblPr>
      <w:tblGrid>
        <w:gridCol w:w="965"/>
        <w:gridCol w:w="60"/>
        <w:gridCol w:w="7610"/>
      </w:tblGrid>
      <w:tr>
        <w:trPr/>
        <w:tc>
          <w:tcPr>
            <w:tcW w:w="9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6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96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610" w:type="dxa"/>
            <w:tcBorders/>
            <w:tcMar>
              <w:bottom w:w="0" w:type="dxa"/>
            </w:tcMar>
            <w:vAlign w:val="center"/>
          </w:tcPr>
          <w:p>
            <w:pPr>
              <w:pStyle w:val="TableContents"/>
              <w:bidi w:val="0"/>
              <w:spacing w:before="0" w:after="0"/>
              <w:ind w:left="0" w:right="0" w:hanging="0"/>
              <w:jc w:val="left"/>
              <w:rPr/>
            </w:pPr>
            <w:r>
              <w:rPr/>
              <w:t> </w:t>
            </w:r>
          </w:p>
        </w:tc>
      </w:tr>
      <w:tr>
        <w:trPr/>
        <w:tc>
          <w:tcPr>
            <w:tcW w:w="96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610" w:type="dxa"/>
            <w:tcBorders/>
            <w:tcMar>
              <w:bottom w:w="0" w:type="dxa"/>
            </w:tcMar>
            <w:vAlign w:val="center"/>
          </w:tcPr>
          <w:p>
            <w:pPr>
              <w:pStyle w:val="TableContents"/>
              <w:bidi w:val="0"/>
              <w:spacing w:before="0" w:after="0"/>
              <w:ind w:left="0" w:right="0" w:hanging="0"/>
              <w:jc w:val="left"/>
              <w:rPr/>
            </w:pPr>
            <w:hyperlink w:anchor="ex_973907.htm">
              <w:r>
                <w:rPr>
                  <w:rStyle w:val="InternetLink"/>
                  <w:rFonts w:ascii="Times New Roman;Times;serif" w:hAnsi="Times New Roman;Times;serif"/>
                  <w:sz w:val="20"/>
                </w:rPr>
                <w:t>Press release, dated August 10, 2026</w:t>
              </w:r>
            </w:hyperlink>
          </w:p>
        </w:tc>
      </w:tr>
      <w:tr>
        <w:trPr/>
        <w:tc>
          <w:tcPr>
            <w:tcW w:w="96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610" w:type="dxa"/>
            <w:tcBorders/>
            <w:tcMar>
              <w:bottom w:w="0" w:type="dxa"/>
            </w:tcMar>
            <w:vAlign w:val="center"/>
          </w:tcPr>
          <w:p>
            <w:pPr>
              <w:pStyle w:val="TableContents"/>
              <w:bidi w:val="0"/>
              <w:spacing w:before="0" w:after="0"/>
              <w:ind w:left="0" w:right="0" w:hanging="0"/>
              <w:jc w:val="left"/>
              <w:rPr/>
            </w:pPr>
            <w:r>
              <w:rPr/>
              <w:t> </w:t>
            </w:r>
          </w:p>
        </w:tc>
      </w:tr>
      <w:tr>
        <w:trPr/>
        <w:tc>
          <w:tcPr>
            <w:tcW w:w="96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610"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SIGNATURES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p>
      <w:pPr>
        <w:pStyle w:val="TextBody"/>
        <w:bidi w:val="0"/>
        <w:spacing w:before="0" w:after="0"/>
        <w:jc w:val="left"/>
        <w:rPr/>
      </w:pPr>
      <w:r>
        <w:rPr/>
        <w:t> </w:t>
      </w:r>
    </w:p>
    <w:tbl>
      <w:tblPr>
        <w:tblW w:w="4290" w:type="dxa"/>
        <w:jc w:val="left"/>
        <w:tblInd w:w="0" w:type="dxa"/>
        <w:tblLayout w:type="fixed"/>
        <w:tblCellMar>
          <w:top w:w="0" w:type="dxa"/>
          <w:left w:w="0" w:type="dxa"/>
          <w:bottom w:w="0" w:type="dxa"/>
          <w:right w:w="0" w:type="dxa"/>
        </w:tblCellMar>
      </w:tblPr>
      <w:tblGrid>
        <w:gridCol w:w="1610"/>
        <w:gridCol w:w="635"/>
        <w:gridCol w:w="1985"/>
        <w:gridCol w:w="60"/>
      </w:tblGrid>
      <w:tr>
        <w:trPr/>
        <w:tc>
          <w:tcPr>
            <w:tcW w:w="1610" w:type="dxa"/>
            <w:tcBorders/>
            <w:vAlign w:val="center"/>
          </w:tcPr>
          <w:p>
            <w:pPr>
              <w:pStyle w:val="TableContents"/>
              <w:bidi w:val="0"/>
              <w:spacing w:before="0" w:after="0"/>
              <w:ind w:left="0" w:right="0" w:hanging="0"/>
              <w:jc w:val="left"/>
              <w:rPr/>
            </w:pPr>
            <w:r>
              <w:rPr/>
              <w:t> </w:t>
            </w:r>
          </w:p>
        </w:tc>
        <w:tc>
          <w:tcPr>
            <w:tcW w:w="26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Fluent, Inc.</w:t>
            </w:r>
          </w:p>
        </w:tc>
        <w:tc>
          <w:tcPr>
            <w:tcW w:w="6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283"/>
              <w:jc w:val="left"/>
              <w:rPr/>
            </w:pPr>
            <w:r>
              <w:rPr/>
              <w:t>August 10, 2026</w:t>
            </w:r>
          </w:p>
        </w:tc>
        <w:tc>
          <w:tcPr>
            <w:tcW w:w="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19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Donald Patrick</w:t>
            </w:r>
          </w:p>
        </w:tc>
        <w:tc>
          <w:tcPr>
            <w:tcW w:w="6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1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Donald Patrick</w:t>
            </w:r>
          </w:p>
        </w:tc>
        <w:tc>
          <w:tcPr>
            <w:tcW w:w="6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c>
          <w:tcPr>
            <w:tcW w:w="1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pPr>
      <w:r>
        <w:rPr/>
        <w:t> </w:t>
      </w:r>
    </w:p>
    <w:p>
      <w:pPr>
        <w:pStyle w:val="TextBody"/>
        <w:bidi w:val="0"/>
        <w:spacing w:before="0" w:after="0"/>
        <w:ind w:left="0" w:right="0" w:hanging="0"/>
        <w:jc w:val="right"/>
        <w:rPr>
          <w:rFonts w:ascii="Times New Roman;Times;serif" w:hAnsi="Times New Roman;Times;serif"/>
          <w:sz w:val="20"/>
        </w:rPr>
      </w:pPr>
      <w:bookmarkStart w:id="4" w:name="ex_973907.htm"/>
      <w:bookmarkStart w:id="5" w:name="ksex_973907"/>
      <w:bookmarkEnd w:id="4"/>
      <w:bookmarkEnd w:id="5"/>
      <w:r>
        <w:rPr>
          <w:rFonts w:ascii="Times New Roman;Times;serif" w:hAnsi="Times New Roman;Times;serif"/>
          <w:b/>
          <w:sz w:val="20"/>
        </w:rPr>
        <w:t>Exhibit 99.1</w:t>
      </w:r>
      <w:r>
        <w:rPr>
          <w:rFonts w:ascii="Times New Roman;Times;serif" w:hAnsi="Times New Roman;Times;serif"/>
          <w:sz w:val="20"/>
        </w:rPr>
        <w:t xml:space="preserve">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Fluent Announces </w:t>
      </w:r>
      <w:bookmarkStart w:id="6" w:name="led28565F20202261585239603083"/>
      <w:bookmarkEnd w:id="6"/>
      <w:r>
        <w:rPr>
          <w:rFonts w:ascii="Times New Roman;Times;serif" w:hAnsi="Times New Roman;Times;serif"/>
          <w:b/>
          <w:sz w:val="20"/>
        </w:rPr>
        <w:t>Second Quarter </w:t>
      </w:r>
      <w:bookmarkStart w:id="7" w:name="led28565F20202261585239615779"/>
      <w:bookmarkEnd w:id="7"/>
      <w:r>
        <w:rPr>
          <w:rFonts w:ascii="Times New Roman;Times;serif" w:hAnsi="Times New Roman;Times;serif"/>
          <w:b/>
          <w:sz w:val="20"/>
        </w:rPr>
        <w:t>2026 Financial Results; Commerce Media Solutions Annual Revenue Run Rate Exceeds </w:t>
      </w:r>
      <w:bookmarkStart w:id="8" w:name="led700274F20259141760464659725"/>
      <w:bookmarkEnd w:id="8"/>
      <w:r>
        <w:rPr>
          <w:rFonts w:ascii="Times New Roman;Times;serif" w:hAnsi="Times New Roman;Times;serif"/>
          <w:b/>
          <w:sz w:val="20"/>
        </w:rPr>
        <w:t>$125 Million</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bookmarkStart w:id="9" w:name="led17399F20256101752161217355"/>
            <w:bookmarkEnd w:id="9"/>
            <w:r>
              <w:rPr>
                <w:rFonts w:ascii="Times New Roman;Times;serif" w:hAnsi="Times New Roman;Times;serif"/>
                <w:sz w:val="20"/>
              </w:rPr>
              <w:t>Q2 </w:t>
            </w:r>
            <w:bookmarkStart w:id="10" w:name="led17401F202352316875329220321"/>
            <w:bookmarkEnd w:id="10"/>
            <w:r>
              <w:rPr>
                <w:rFonts w:ascii="Times New Roman;Times;serif" w:hAnsi="Times New Roman;Times;serif"/>
                <w:sz w:val="20"/>
              </w:rPr>
              <w:t>2026 revenue of </w:t>
            </w:r>
            <w:bookmarkStart w:id="11" w:name="led28561F20203271588011867259"/>
            <w:bookmarkEnd w:id="11"/>
            <w:r>
              <w:rPr>
                <w:rFonts w:ascii="Times New Roman;Times;serif" w:hAnsi="Times New Roman;Times;serif"/>
                <w:sz w:val="20"/>
              </w:rPr>
              <w:t>$48.4 million; H1 </w:t>
            </w:r>
            <w:bookmarkStart w:id="12" w:name="led17401F20235231687532922032"/>
            <w:bookmarkEnd w:id="12"/>
            <w:r>
              <w:rPr>
                <w:rFonts w:ascii="Times New Roman;Times;serif" w:hAnsi="Times New Roman;Times;serif"/>
                <w:sz w:val="20"/>
              </w:rPr>
              <w:t>2026 revenue of </w:t>
            </w:r>
            <w:bookmarkStart w:id="13" w:name="led28561F202607081783540404179"/>
            <w:bookmarkEnd w:id="13"/>
            <w:r>
              <w:rPr>
                <w:rFonts w:ascii="Times New Roman;Times;serif" w:hAnsi="Times New Roman;Times;serif"/>
                <w:sz w:val="20"/>
              </w:rPr>
              <w:t>$93.3 million, reflecting a return to growth in Q2 2026</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bookmarkStart w:id="14" w:name="led17399F202561017521612173552"/>
            <w:bookmarkEnd w:id="14"/>
            <w:r>
              <w:rPr>
                <w:rFonts w:ascii="Times New Roman;Times;serif" w:hAnsi="Times New Roman;Times;serif"/>
                <w:sz w:val="20"/>
              </w:rPr>
              <w:t>Q2 </w:t>
            </w:r>
            <w:bookmarkStart w:id="15" w:name="led17401F202352316875329220322"/>
            <w:bookmarkEnd w:id="15"/>
            <w:r>
              <w:rPr>
                <w:rFonts w:ascii="Times New Roman;Times;serif" w:hAnsi="Times New Roman;Times;serif"/>
                <w:sz w:val="20"/>
              </w:rPr>
              <w:t>2026 Commerce Media Solutions revenue grew </w:t>
            </w:r>
            <w:bookmarkStart w:id="16" w:name="led700274F20253241745505827508"/>
            <w:bookmarkEnd w:id="16"/>
            <w:r>
              <w:rPr>
                <w:rFonts w:ascii="Times New Roman;Times;serif" w:hAnsi="Times New Roman;Times;serif"/>
                <w:sz w:val="20"/>
              </w:rPr>
              <w:t>90% to </w:t>
            </w:r>
            <w:bookmarkStart w:id="17" w:name="led700274F20253241745505839053"/>
            <w:bookmarkEnd w:id="17"/>
            <w:r>
              <w:rPr>
                <w:rFonts w:ascii="Times New Roman;Times;serif" w:hAnsi="Times New Roman;Times;serif"/>
                <w:sz w:val="20"/>
              </w:rPr>
              <w:t>$30.5 million, representing </w:t>
            </w:r>
            <w:bookmarkStart w:id="18" w:name="led700274F20253241745506737174"/>
            <w:bookmarkEnd w:id="18"/>
            <w:r>
              <w:rPr>
                <w:rFonts w:ascii="Times New Roman;Times;serif" w:hAnsi="Times New Roman;Times;serif"/>
                <w:sz w:val="20"/>
              </w:rPr>
              <w:t>63% of consolidated revenue from </w:t>
            </w:r>
            <w:bookmarkStart w:id="19" w:name="led700274F20253241745506750757"/>
            <w:bookmarkEnd w:id="19"/>
            <w:r>
              <w:rPr>
                <w:rFonts w:ascii="Times New Roman;Times;serif" w:hAnsi="Times New Roman;Times;serif"/>
                <w:sz w:val="20"/>
              </w:rPr>
              <w:t>$16.1 million or </w:t>
            </w:r>
            <w:bookmarkStart w:id="20" w:name="led700274F20253241745506761317"/>
            <w:bookmarkEnd w:id="20"/>
            <w:r>
              <w:rPr>
                <w:rFonts w:ascii="Times New Roman;Times;serif" w:hAnsi="Times New Roman;Times;serif"/>
                <w:sz w:val="20"/>
              </w:rPr>
              <w:t>36% of consolidated revenue in </w:t>
            </w:r>
            <w:bookmarkStart w:id="21" w:name="led17399F202561017521612173551"/>
            <w:bookmarkEnd w:id="21"/>
            <w:r>
              <w:rPr>
                <w:rFonts w:ascii="Times New Roman;Times;serif" w:hAnsi="Times New Roman;Times;serif"/>
                <w:sz w:val="20"/>
              </w:rPr>
              <w:t>Q2 </w:t>
            </w:r>
            <w:bookmarkStart w:id="22" w:name="led28565F20202261585239659499"/>
            <w:bookmarkEnd w:id="22"/>
            <w:r>
              <w:rPr>
                <w:rFonts w:ascii="Times New Roman;Times;serif" w:hAnsi="Times New Roman;Times;serif"/>
                <w:sz w:val="20"/>
              </w:rPr>
              <w:t>2025 </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Commerce Media Solutions annual revenue run rate now exceeds </w:t>
            </w:r>
            <w:bookmarkStart w:id="23" w:name="led700275F2025711754089535529"/>
            <w:bookmarkEnd w:id="23"/>
            <w:r>
              <w:rPr>
                <w:rFonts w:ascii="Times New Roman;Times;serif" w:hAnsi="Times New Roman;Times;serif"/>
                <w:sz w:val="20"/>
              </w:rPr>
              <w:t>$125 million, with gross margin of </w:t>
            </w:r>
            <w:bookmarkStart w:id="24" w:name="led700276F202608031785764296901"/>
            <w:bookmarkEnd w:id="24"/>
            <w:r>
              <w:rPr>
                <w:rFonts w:ascii="Times New Roman;Times;serif" w:hAnsi="Times New Roman;Times;serif"/>
                <w:sz w:val="20"/>
              </w:rPr>
              <w:t>27%</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Continue to expect full-year double-digit revenue growth on aggregate continuing business and adjusted EBITDA improvement for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New York, NY – August 10, 2026</w:t>
      </w:r>
      <w:r>
        <w:rPr>
          <w:rFonts w:ascii="Times New Roman;Times;serif" w:hAnsi="Times New Roman;Times;serif"/>
          <w:sz w:val="20"/>
        </w:rPr>
        <w:t xml:space="preserve"> – Fluent, Inc. (NASDAQ: FLNT) (the “Company” or “Fluent”), a commerce media solutions provider, today reported unaudited financial results for the </w:t>
      </w:r>
      <w:bookmarkStart w:id="25" w:name="led28565F20202261585240455954"/>
      <w:bookmarkEnd w:id="25"/>
      <w:r>
        <w:rPr>
          <w:rFonts w:ascii="Times New Roman;Times;serif" w:hAnsi="Times New Roman;Times;serif"/>
          <w:sz w:val="20"/>
        </w:rPr>
        <w:t>second quarter ended </w:t>
      </w:r>
      <w:bookmarkStart w:id="26" w:name="led17399F20217231629741624407"/>
      <w:bookmarkEnd w:id="26"/>
      <w:r>
        <w:rPr>
          <w:rFonts w:ascii="Times New Roman;Times;serif" w:hAnsi="Times New Roman;Times;serif"/>
          <w:sz w:val="20"/>
        </w:rPr>
        <w:t>June 30,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Don Patrick, Chief Executive Officer of Fluent, commented, “Our second quarter marked an inflection point we have been building toward. Consolidated revenue returned to year-over-year growth, increasing 8% to $48.4 million, revenue from aggregate continuing businesses increased 25% to $48.9 million, and Commerce Media Solutions revenue increased 90% to $30.5 million in the second quarter. For the period ended June 30, 2026, Commerce Media represented 63% of total consolidated revenue, with an annual revenue run rate exceeding $125 million. Just as important, the margin expansion we said would follow as our newer partnerships matured is now evident in the results — consolidated gross profit margin expanded to 29% from 23%, and Commerce Media Solutions gross margin recovered into the mid-twenties."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Patrick continued, "Fluent continues to demonstrate a highly differentiated brand with a clear strategy to deliver superior and measurable outcomes for our media partners and advertisers. During the second quarter, we added several new important media partners and announced the launch of our new in-store commerce media offering that brings Commerce Media Solutions to the physical retail environment. In-store represents a major milestone for Fluent. With 83% of retail transactions taking place in a physical store, commerce media is now being deployed at the physical retail point of sale for the first time, creating a new, high-volume revenue stream that the retailer already owns and can now monetize. We're moving decisively to prove out this model in the second half of 2026, and we expect it to begin contributing materially to revenue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"We’re very pleased with the continued strong performance. With Commerce Media Solutions now the clear majority of our revenue and our strongest seasonal quarters ahead of us, we remain confident in delivering full-year double-digit revenue growth on our aggregate continuing businesses and improved full-year adjusted EBITDA," Mr. Patrick concluded.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bookmarkStart w:id="27" w:name="led28565F20202261585240555538"/>
      <w:bookmarkEnd w:id="27"/>
      <w:r>
        <w:rPr>
          <w:rFonts w:ascii="Times New Roman;Times;serif" w:hAnsi="Times New Roman;Times;serif"/>
          <w:b/>
          <w:sz w:val="20"/>
        </w:rPr>
        <w:t>Second Quarter Financial Highlights</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35"/>
        <w:gridCol w:w="60"/>
      </w:tblGrid>
      <w:tr>
        <w:trPr/>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of </w:t>
            </w:r>
            <w:bookmarkStart w:id="28" w:name="led28561F202032715880118672591"/>
            <w:bookmarkEnd w:id="28"/>
            <w:r>
              <w:rPr>
                <w:rFonts w:ascii="Times New Roman;Times;serif" w:hAnsi="Times New Roman;Times;serif"/>
                <w:sz w:val="20"/>
              </w:rPr>
              <w:t>$48.4 million, an increase of </w:t>
            </w:r>
            <w:bookmarkStart w:id="29" w:name="led28561F20203271588011898513"/>
            <w:bookmarkEnd w:id="29"/>
            <w:r>
              <w:rPr>
                <w:rFonts w:ascii="Times New Roman;Times;serif" w:hAnsi="Times New Roman;Times;serif"/>
                <w:sz w:val="20"/>
              </w:rPr>
              <w:t>8%, compared to </w:t>
            </w:r>
            <w:bookmarkStart w:id="30" w:name="led17406F20233211682089303680"/>
            <w:bookmarkEnd w:id="30"/>
            <w:r>
              <w:rPr>
                <w:rFonts w:ascii="Times New Roman;Times;serif" w:hAnsi="Times New Roman;Times;serif"/>
                <w:sz w:val="20"/>
              </w:rPr>
              <w:t>$44.7 million in </w:t>
            </w:r>
            <w:bookmarkStart w:id="31" w:name="led17399F202561017521612173553"/>
            <w:bookmarkEnd w:id="31"/>
            <w:r>
              <w:rPr>
                <w:rFonts w:ascii="Times New Roman;Times;serif" w:hAnsi="Times New Roman;Times;serif"/>
                <w:sz w:val="20"/>
              </w:rPr>
              <w:t>Q2 </w:t>
            </w:r>
            <w:bookmarkStart w:id="32" w:name="led28565F202022615852396594991"/>
            <w:bookmarkEnd w:id="32"/>
            <w:r>
              <w:rPr>
                <w:rFonts w:ascii="Times New Roman;Times;serif" w:hAnsi="Times New Roman;Times;serif"/>
                <w:sz w:val="20"/>
              </w:rPr>
              <w:t>2025 </w:t>
            </w:r>
          </w:p>
          <w:p>
            <w:pPr>
              <w:pStyle w:val="TableContents"/>
              <w:bidi w:val="0"/>
              <w:spacing w:before="0" w:after="0"/>
              <w:ind w:left="0" w:right="0" w:hanging="0"/>
              <w:jc w:val="both"/>
              <w:rPr/>
            </w:pPr>
            <w:r>
              <w:rPr/>
              <w:t xml:space="preserve">• </w:t>
            </w:r>
            <w:r>
              <w:rPr>
                <w:rFonts w:ascii="Times New Roman;Times;serif" w:hAnsi="Times New Roman;Times;serif"/>
                <w:sz w:val="20"/>
              </w:rPr>
              <w:t>Commerce Media Solutions revenue increased </w:t>
            </w:r>
            <w:bookmarkStart w:id="33" w:name="led700274F20253241745509162990"/>
            <w:bookmarkEnd w:id="33"/>
            <w:r>
              <w:rPr>
                <w:rFonts w:ascii="Times New Roman;Times;serif" w:hAnsi="Times New Roman;Times;serif"/>
                <w:sz w:val="20"/>
              </w:rPr>
              <w:t>90% to </w:t>
            </w:r>
            <w:bookmarkStart w:id="34" w:name="led700274F20253241745509171043"/>
            <w:bookmarkEnd w:id="34"/>
            <w:r>
              <w:rPr>
                <w:rFonts w:ascii="Times New Roman;Times;serif" w:hAnsi="Times New Roman;Times;serif"/>
                <w:sz w:val="20"/>
              </w:rPr>
              <w:t>$30.5 million, compared to </w:t>
            </w:r>
            <w:bookmarkStart w:id="35" w:name="led700274F20253241745509180795"/>
            <w:bookmarkEnd w:id="35"/>
            <w:r>
              <w:rPr>
                <w:rFonts w:ascii="Times New Roman;Times;serif" w:hAnsi="Times New Roman;Times;serif"/>
                <w:sz w:val="20"/>
              </w:rPr>
              <w:t>$16.1 million in </w:t>
            </w:r>
            <w:bookmarkStart w:id="36" w:name="led17399F202561017521612173554"/>
            <w:bookmarkEnd w:id="36"/>
            <w:r>
              <w:rPr>
                <w:rFonts w:ascii="Times New Roman;Times;serif" w:hAnsi="Times New Roman;Times;serif"/>
                <w:sz w:val="20"/>
              </w:rPr>
              <w:t>Q2 </w:t>
            </w:r>
            <w:bookmarkStart w:id="37" w:name="led28565F202022615852396594992"/>
            <w:bookmarkEnd w:id="37"/>
            <w:r>
              <w:rPr>
                <w:rFonts w:ascii="Times New Roman;Times;serif" w:hAnsi="Times New Roman;Times;serif"/>
                <w:sz w:val="20"/>
              </w:rPr>
              <w:t>2025</w:t>
            </w:r>
          </w:p>
          <w:p>
            <w:pPr>
              <w:pStyle w:val="TableContents"/>
              <w:bidi w:val="0"/>
              <w:spacing w:before="0" w:after="0"/>
              <w:ind w:left="0" w:right="0" w:hanging="0"/>
              <w:jc w:val="both"/>
              <w:rPr/>
            </w:pPr>
            <w:r>
              <w:rPr/>
              <w:t xml:space="preserve">• </w:t>
            </w:r>
            <w:r>
              <w:rPr>
                <w:rFonts w:ascii="Times New Roman;Times;serif" w:hAnsi="Times New Roman;Times;serif"/>
                <w:sz w:val="20"/>
              </w:rPr>
              <w:t>Owned and Operated revenue decreased </w:t>
            </w:r>
            <w:bookmarkStart w:id="38" w:name="led700274F20253241745509128396"/>
            <w:bookmarkEnd w:id="38"/>
            <w:r>
              <w:rPr>
                <w:rFonts w:ascii="Times New Roman;Times;serif" w:hAnsi="Times New Roman;Times;serif"/>
                <w:sz w:val="20"/>
              </w:rPr>
              <w:t>24% to </w:t>
            </w:r>
            <w:bookmarkStart w:id="39" w:name="led700274F20253241745509135787"/>
            <w:bookmarkEnd w:id="39"/>
            <w:r>
              <w:rPr>
                <w:rFonts w:ascii="Times New Roman;Times;serif" w:hAnsi="Times New Roman;Times;serif"/>
                <w:sz w:val="20"/>
              </w:rPr>
              <w:t>$16.3 million, compared to </w:t>
            </w:r>
            <w:bookmarkStart w:id="40" w:name="led700274F20253241745509144827"/>
            <w:bookmarkEnd w:id="40"/>
            <w:r>
              <w:rPr>
                <w:rFonts w:ascii="Times New Roman;Times;serif" w:hAnsi="Times New Roman;Times;serif"/>
                <w:sz w:val="20"/>
              </w:rPr>
              <w:t>$21.4 million in </w:t>
            </w:r>
            <w:bookmarkStart w:id="41" w:name="led17399F202561017521612173555"/>
            <w:bookmarkEnd w:id="41"/>
            <w:r>
              <w:rPr>
                <w:rFonts w:ascii="Times New Roman;Times;serif" w:hAnsi="Times New Roman;Times;serif"/>
                <w:sz w:val="20"/>
              </w:rPr>
              <w:t>Q2 </w:t>
            </w:r>
            <w:bookmarkStart w:id="42" w:name="led28565F202022615852396594993"/>
            <w:bookmarkEnd w:id="42"/>
            <w:r>
              <w:rPr>
                <w:rFonts w:ascii="Times New Roman;Times;serif" w:hAnsi="Times New Roman;Times;serif"/>
                <w:sz w:val="20"/>
              </w:rPr>
              <w:t>2025, as the Company continued its shift in focus and revenue mix to Commerce Media Solutions</w:t>
            </w:r>
          </w:p>
          <w:p>
            <w:pPr>
              <w:pStyle w:val="TableContents"/>
              <w:bidi w:val="0"/>
              <w:spacing w:before="0" w:after="0"/>
              <w:ind w:left="0" w:right="0" w:hanging="0"/>
              <w:jc w:val="both"/>
              <w:rPr/>
            </w:pPr>
            <w:r>
              <w:rPr/>
              <w:t xml:space="preserve">• </w:t>
            </w:r>
            <w:r>
              <w:rPr>
                <w:rFonts w:ascii="Times New Roman;Times;serif" w:hAnsi="Times New Roman;Times;serif"/>
                <w:sz w:val="20"/>
              </w:rPr>
              <w:t>Q2 2025 revenue included $5.6 million from Call Solutions, which was sold in January 2026, and Q2 2026 included a $0.4 million write-down of revenue for the ACA business discontinued in the third quarter of 2024. Aggregate revenue from the continuing businesses increased 25% in Q2 2026 compared to Q2 2025</w:t>
            </w:r>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of </w:t>
            </w:r>
            <w:bookmarkStart w:id="43" w:name="led17406F20229211666358751945"/>
            <w:bookmarkEnd w:id="43"/>
            <w:r>
              <w:rPr>
                <w:rFonts w:ascii="Times New Roman;Times;serif" w:hAnsi="Times New Roman;Times;serif"/>
                <w:sz w:val="20"/>
              </w:rPr>
              <w:t>$6.2 million, or </w:t>
            </w:r>
            <w:bookmarkStart w:id="44" w:name="led17406F20229211666358764895"/>
            <w:bookmarkEnd w:id="44"/>
            <w:r>
              <w:rPr>
                <w:rFonts w:ascii="Times New Roman;Times;serif" w:hAnsi="Times New Roman;Times;serif"/>
                <w:sz w:val="20"/>
              </w:rPr>
              <w:t>$0.20 per share, compared to a net loss of </w:t>
            </w:r>
            <w:bookmarkStart w:id="45" w:name="led17406F20233211682089384751"/>
            <w:bookmarkEnd w:id="45"/>
            <w:r>
              <w:rPr>
                <w:rFonts w:ascii="Times New Roman;Times;serif" w:hAnsi="Times New Roman;Times;serif"/>
                <w:sz w:val="20"/>
              </w:rPr>
              <w:t>$7.2 million, or </w:t>
            </w:r>
            <w:bookmarkStart w:id="46" w:name="led17406F20233211682089398159"/>
            <w:bookmarkEnd w:id="46"/>
            <w:r>
              <w:rPr>
                <w:rFonts w:ascii="Times New Roman;Times;serif" w:hAnsi="Times New Roman;Times;serif"/>
                <w:sz w:val="20"/>
              </w:rPr>
              <w:t>$0.30 per share, for </w:t>
            </w:r>
            <w:bookmarkStart w:id="47" w:name="led17399F202561017521612173556"/>
            <w:bookmarkEnd w:id="47"/>
            <w:r>
              <w:rPr>
                <w:rFonts w:ascii="Times New Roman;Times;serif" w:hAnsi="Times New Roman;Times;serif"/>
                <w:sz w:val="20"/>
              </w:rPr>
              <w:t>Q2 </w:t>
            </w:r>
            <w:bookmarkStart w:id="48" w:name="led28565F202022615852396594994"/>
            <w:bookmarkEnd w:id="48"/>
            <w:r>
              <w:rPr>
                <w:rFonts w:ascii="Times New Roman;Times;serif" w:hAnsi="Times New Roman;Times;serif"/>
                <w:sz w:val="20"/>
              </w:rPr>
              <w:t>2025</w:t>
            </w:r>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 (exclusive of depreciation and amortization) of </w:t>
            </w:r>
            <w:bookmarkStart w:id="49" w:name="led17422F20219151634304785629"/>
            <w:bookmarkEnd w:id="49"/>
            <w:r>
              <w:rPr>
                <w:rFonts w:ascii="Times New Roman;Times;serif" w:hAnsi="Times New Roman;Times;serif"/>
                <w:sz w:val="20"/>
              </w:rPr>
              <w:t>$14.0 million, an increase of </w:t>
            </w:r>
            <w:bookmarkStart w:id="50" w:name="led17422F20219151634304776306"/>
            <w:bookmarkEnd w:id="50"/>
            <w:r>
              <w:rPr>
                <w:rFonts w:ascii="Times New Roman;Times;serif" w:hAnsi="Times New Roman;Times;serif"/>
                <w:sz w:val="20"/>
              </w:rPr>
              <w:t>36% compared to </w:t>
            </w:r>
            <w:bookmarkStart w:id="51" w:name="led17399F202561017521612173559"/>
            <w:bookmarkEnd w:id="51"/>
            <w:r>
              <w:rPr>
                <w:rFonts w:ascii="Times New Roman;Times;serif" w:hAnsi="Times New Roman;Times;serif"/>
                <w:sz w:val="20"/>
              </w:rPr>
              <w:t>Q2 </w:t>
            </w:r>
            <w:bookmarkStart w:id="52" w:name="led28565F202022615852396594996"/>
            <w:bookmarkEnd w:id="52"/>
            <w:r>
              <w:rPr>
                <w:rFonts w:ascii="Times New Roman;Times;serif" w:hAnsi="Times New Roman;Times;serif"/>
                <w:sz w:val="20"/>
              </w:rPr>
              <w:t>2025 and representing </w:t>
            </w:r>
            <w:bookmarkStart w:id="53" w:name="led17422F20219151634304802310"/>
            <w:bookmarkEnd w:id="53"/>
            <w:r>
              <w:rPr>
                <w:rFonts w:ascii="Times New Roman;Times;serif" w:hAnsi="Times New Roman;Times;serif"/>
                <w:sz w:val="20"/>
              </w:rPr>
              <w:t>29% of revenue. Commerce Media Solutions reported gross profit (exclusive of depreciation and amortization) of </w:t>
            </w:r>
            <w:bookmarkStart w:id="54" w:name="led700274F20253241745509494748"/>
            <w:bookmarkEnd w:id="54"/>
            <w:r>
              <w:rPr>
                <w:rFonts w:ascii="Times New Roman;Times;serif" w:hAnsi="Times New Roman;Times;serif"/>
                <w:sz w:val="20"/>
              </w:rPr>
              <w:t>$8.2 million, an increase of </w:t>
            </w:r>
            <w:bookmarkStart w:id="55" w:name="led700274F20256101752155997034"/>
            <w:bookmarkEnd w:id="55"/>
            <w:r>
              <w:rPr>
                <w:rFonts w:ascii="Times New Roman;Times;serif" w:hAnsi="Times New Roman;Times;serif"/>
                <w:sz w:val="20"/>
              </w:rPr>
              <w:t>186% over </w:t>
            </w:r>
            <w:bookmarkStart w:id="56" w:name="led17399F202561017521612173558"/>
            <w:bookmarkEnd w:id="56"/>
            <w:r>
              <w:rPr>
                <w:rFonts w:ascii="Times New Roman;Times;serif" w:hAnsi="Times New Roman;Times;serif"/>
                <w:sz w:val="20"/>
              </w:rPr>
              <w:t>Q2 </w:t>
            </w:r>
            <w:bookmarkStart w:id="57" w:name="led28565F202022615852396594995"/>
            <w:bookmarkEnd w:id="57"/>
            <w:r>
              <w:rPr>
                <w:rFonts w:ascii="Times New Roman;Times;serif" w:hAnsi="Times New Roman;Times;serif"/>
                <w:sz w:val="20"/>
              </w:rPr>
              <w:t>2025 and representing </w:t>
            </w:r>
            <w:bookmarkStart w:id="58" w:name="led700274F20253241745509506513"/>
            <w:bookmarkEnd w:id="58"/>
            <w:r>
              <w:rPr>
                <w:rFonts w:ascii="Times New Roman;Times;serif" w:hAnsi="Times New Roman;Times;serif"/>
                <w:sz w:val="20"/>
              </w:rPr>
              <w:t>27% of revenue for </w:t>
            </w:r>
            <w:bookmarkStart w:id="59" w:name="led17399F202561017521612173557"/>
            <w:bookmarkEnd w:id="59"/>
            <w:r>
              <w:rPr>
                <w:rFonts w:ascii="Times New Roman;Times;serif" w:hAnsi="Times New Roman;Times;serif"/>
                <w:sz w:val="20"/>
              </w:rPr>
              <w:t>Q2 </w:t>
            </w:r>
            <w:bookmarkStart w:id="60" w:name="led17401F202352316875329220323"/>
            <w:bookmarkEnd w:id="60"/>
            <w:r>
              <w:rPr>
                <w:rFonts w:ascii="Times New Roman;Times;serif" w:hAnsi="Times New Roman;Times;serif"/>
                <w:sz w:val="20"/>
              </w:rPr>
              <w:t>2026</w:t>
            </w:r>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Media margin of </w:t>
            </w:r>
            <w:bookmarkStart w:id="61" w:name="led28616F20203271588012001711"/>
            <w:bookmarkEnd w:id="61"/>
            <w:r>
              <w:rPr>
                <w:rFonts w:ascii="Times New Roman;Times;serif" w:hAnsi="Times New Roman;Times;serif"/>
                <w:sz w:val="20"/>
              </w:rPr>
              <w:t>$17.5 million, an increase of </w:t>
            </w:r>
            <w:bookmarkStart w:id="62" w:name="led28616F20203271588012038132"/>
            <w:bookmarkEnd w:id="62"/>
            <w:r>
              <w:rPr>
                <w:rFonts w:ascii="Times New Roman;Times;serif" w:hAnsi="Times New Roman;Times;serif"/>
                <w:sz w:val="20"/>
              </w:rPr>
              <w:t>46% compared to </w:t>
            </w:r>
            <w:bookmarkStart w:id="63" w:name="led17399F2025610175216121735512"/>
            <w:bookmarkEnd w:id="63"/>
            <w:r>
              <w:rPr>
                <w:rFonts w:ascii="Times New Roman;Times;serif" w:hAnsi="Times New Roman;Times;serif"/>
                <w:sz w:val="20"/>
              </w:rPr>
              <w:t>Q2 </w:t>
            </w:r>
            <w:bookmarkStart w:id="64" w:name="led28565F202022615852396594998"/>
            <w:bookmarkEnd w:id="64"/>
            <w:r>
              <w:rPr>
                <w:rFonts w:ascii="Times New Roman;Times;serif" w:hAnsi="Times New Roman;Times;serif"/>
                <w:sz w:val="20"/>
              </w:rPr>
              <w:t>2025 and representing </w:t>
            </w:r>
            <w:bookmarkStart w:id="65" w:name="led17422F20226291659117052488"/>
            <w:bookmarkEnd w:id="65"/>
            <w:r>
              <w:rPr>
                <w:rFonts w:ascii="Times New Roman;Times;serif" w:hAnsi="Times New Roman;Times;serif"/>
                <w:sz w:val="20"/>
              </w:rPr>
              <w:t>36% of revenue. Commerce Media Solutions reported media margin of </w:t>
            </w:r>
            <w:bookmarkStart w:id="66" w:name="led700276F20256291753833594144"/>
            <w:bookmarkEnd w:id="66"/>
            <w:r>
              <w:rPr>
                <w:rFonts w:ascii="Times New Roman;Times;serif" w:hAnsi="Times New Roman;Times;serif"/>
                <w:sz w:val="20"/>
              </w:rPr>
              <w:t>$10.5 million, an increase of </w:t>
            </w:r>
            <w:bookmarkStart w:id="67" w:name="led700276F20256301753833611140"/>
            <w:bookmarkEnd w:id="67"/>
            <w:r>
              <w:rPr>
                <w:rFonts w:ascii="Times New Roman;Times;serif" w:hAnsi="Times New Roman;Times;serif"/>
                <w:sz w:val="20"/>
              </w:rPr>
              <w:t>226% over </w:t>
            </w:r>
            <w:bookmarkStart w:id="68" w:name="led17399F2025610175216121735511"/>
            <w:bookmarkEnd w:id="68"/>
            <w:r>
              <w:rPr>
                <w:rFonts w:ascii="Times New Roman;Times;serif" w:hAnsi="Times New Roman;Times;serif"/>
                <w:sz w:val="20"/>
              </w:rPr>
              <w:t>Q2 </w:t>
            </w:r>
            <w:bookmarkStart w:id="69" w:name="led28565F202022615852396594997"/>
            <w:bookmarkEnd w:id="69"/>
            <w:r>
              <w:rPr>
                <w:rFonts w:ascii="Times New Roman;Times;serif" w:hAnsi="Times New Roman;Times;serif"/>
                <w:sz w:val="20"/>
              </w:rPr>
              <w:t>2025 and representing </w:t>
            </w:r>
            <w:bookmarkStart w:id="70" w:name="led700274F20253241745509563162"/>
            <w:bookmarkEnd w:id="70"/>
            <w:r>
              <w:rPr>
                <w:rFonts w:ascii="Times New Roman;Times;serif" w:hAnsi="Times New Roman;Times;serif"/>
                <w:sz w:val="20"/>
              </w:rPr>
              <w:t>34% of revenue for </w:t>
            </w:r>
            <w:bookmarkStart w:id="71" w:name="led17399F2025610175216121735510"/>
            <w:bookmarkEnd w:id="71"/>
            <w:r>
              <w:rPr>
                <w:rFonts w:ascii="Times New Roman;Times;serif" w:hAnsi="Times New Roman;Times;serif"/>
                <w:sz w:val="20"/>
              </w:rPr>
              <w:t>Q2 </w:t>
            </w:r>
            <w:bookmarkStart w:id="72" w:name="led17401F202352316875329220324"/>
            <w:bookmarkEnd w:id="72"/>
            <w:r>
              <w:rPr>
                <w:rFonts w:ascii="Times New Roman;Times;serif" w:hAnsi="Times New Roman;Times;serif"/>
                <w:sz w:val="20"/>
              </w:rPr>
              <w:t>2026</w:t>
            </w:r>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loss of </w:t>
            </w:r>
            <w:bookmarkStart w:id="73" w:name="led17422F20234101683724125300"/>
            <w:bookmarkEnd w:id="73"/>
            <w:r>
              <w:rPr>
                <w:rFonts w:ascii="Times New Roman;Times;serif" w:hAnsi="Times New Roman;Times;serif"/>
                <w:sz w:val="20"/>
              </w:rPr>
              <w:t>$1.8 million, compared to </w:t>
            </w:r>
            <w:bookmarkStart w:id="74" w:name="led28616F202607271785169911122"/>
            <w:bookmarkEnd w:id="74"/>
            <w:r>
              <w:rPr>
                <w:rFonts w:ascii="Times New Roman;Times;serif" w:hAnsi="Times New Roman;Times;serif"/>
                <w:sz w:val="20"/>
              </w:rPr>
              <w:t>$2.8 million for </w:t>
            </w:r>
            <w:bookmarkStart w:id="75" w:name="led17399F2025610175216121735513"/>
            <w:bookmarkEnd w:id="75"/>
            <w:r>
              <w:rPr>
                <w:rFonts w:ascii="Times New Roman;Times;serif" w:hAnsi="Times New Roman;Times;serif"/>
                <w:sz w:val="20"/>
              </w:rPr>
              <w:t>Q2 </w:t>
            </w:r>
            <w:bookmarkStart w:id="76" w:name="led28565F202022615852396594999"/>
            <w:bookmarkEnd w:id="76"/>
            <w:r>
              <w:rPr>
                <w:rFonts w:ascii="Times New Roman;Times;serif" w:hAnsi="Times New Roman;Times;serif"/>
                <w:sz w:val="20"/>
              </w:rPr>
              <w:t>2025, and representing </w:t>
            </w:r>
            <w:bookmarkStart w:id="77" w:name="led17422F20256221753208189450"/>
            <w:bookmarkEnd w:id="77"/>
            <w:r>
              <w:rPr>
                <w:rFonts w:ascii="Times New Roman;Times;serif" w:hAnsi="Times New Roman;Times;serif"/>
                <w:sz w:val="20"/>
              </w:rPr>
              <w:t>4% of revenue</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net loss of </w:t>
            </w:r>
            <w:bookmarkStart w:id="78" w:name="led28616F20203271588012375521"/>
            <w:bookmarkEnd w:id="78"/>
            <w:r>
              <w:rPr>
                <w:rFonts w:ascii="Times New Roman;Times;serif" w:hAnsi="Times New Roman;Times;serif"/>
                <w:sz w:val="20"/>
              </w:rPr>
              <w:t>$4.2 million, or </w:t>
            </w:r>
            <w:bookmarkStart w:id="79" w:name="led17422F2022761659806911152"/>
            <w:bookmarkEnd w:id="79"/>
            <w:r>
              <w:rPr>
                <w:rFonts w:ascii="Times New Roman;Times;serif" w:hAnsi="Times New Roman;Times;serif"/>
                <w:sz w:val="20"/>
              </w:rPr>
              <w:t>$0.13 per share, compared to </w:t>
            </w:r>
            <w:bookmarkStart w:id="80" w:name="led17422F20233241682364056340"/>
            <w:bookmarkEnd w:id="80"/>
            <w:r>
              <w:rPr>
                <w:rFonts w:ascii="Times New Roman;Times;serif" w:hAnsi="Times New Roman;Times;serif"/>
                <w:sz w:val="20"/>
              </w:rPr>
              <w:t>$5.8 million, or </w:t>
            </w:r>
            <w:bookmarkStart w:id="81" w:name="led17422F20233241682364076289"/>
            <w:bookmarkEnd w:id="81"/>
            <w:r>
              <w:rPr>
                <w:rFonts w:ascii="Times New Roman;Times;serif" w:hAnsi="Times New Roman;Times;serif"/>
                <w:sz w:val="20"/>
              </w:rPr>
              <w:t>$0.24 per share, for </w:t>
            </w:r>
            <w:bookmarkStart w:id="82" w:name="led17399F2025610175216121735514"/>
            <w:bookmarkEnd w:id="82"/>
            <w:r>
              <w:rPr>
                <w:rFonts w:ascii="Times New Roman;Times;serif" w:hAnsi="Times New Roman;Times;serif"/>
                <w:sz w:val="20"/>
              </w:rPr>
              <w:t>Q2 </w:t>
            </w:r>
            <w:bookmarkStart w:id="83" w:name="led28565F2020226158523965949910"/>
            <w:bookmarkEnd w:id="83"/>
            <w:r>
              <w:rPr>
                <w:rFonts w:ascii="Times New Roman;Times;serif" w:hAnsi="Times New Roman;Times;serif"/>
                <w:sz w:val="20"/>
              </w:rPr>
              <w:t>2025</w:t>
            </w:r>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Six Months Ended June 30, 2026 Financial Highlights</w:t>
      </w:r>
      <w:r>
        <w:rPr>
          <w:rFonts w:ascii="Times New Roman" w:hAnsi="Times New Roman"/>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35"/>
        <w:gridCol w:w="60"/>
      </w:tblGrid>
      <w:tr>
        <w:trPr/>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of </w:t>
            </w:r>
            <w:bookmarkStart w:id="84" w:name="led28561F202607091783605142001"/>
            <w:bookmarkEnd w:id="84"/>
            <w:r>
              <w:rPr>
                <w:rFonts w:ascii="Times New Roman" w:hAnsi="Times New Roman"/>
                <w:caps w:val="false"/>
                <w:smallCaps w:val="false"/>
                <w:sz w:val="20"/>
              </w:rPr>
              <w:t>$93.3 million, a decrease of </w:t>
            </w:r>
            <w:bookmarkStart w:id="85" w:name="led28561F202607091783605148040"/>
            <w:bookmarkEnd w:id="85"/>
            <w:r>
              <w:rPr>
                <w:rFonts w:ascii="Times New Roman" w:hAnsi="Times New Roman"/>
                <w:caps w:val="false"/>
                <w:smallCaps w:val="false"/>
                <w:sz w:val="20"/>
              </w:rPr>
              <w:t>7%, compared to </w:t>
            </w:r>
            <w:bookmarkStart w:id="86" w:name="led28561F202607091783605151144"/>
            <w:bookmarkEnd w:id="86"/>
            <w:r>
              <w:rPr>
                <w:rFonts w:ascii="Times New Roman" w:hAnsi="Times New Roman"/>
                <w:caps w:val="false"/>
                <w:smallCaps w:val="false"/>
                <w:sz w:val="20"/>
              </w:rPr>
              <w:t>$99.9 million in H1 </w:t>
            </w:r>
            <w:bookmarkStart w:id="87" w:name="led28565F2020226158523965949911"/>
            <w:bookmarkEnd w:id="87"/>
            <w:r>
              <w:rPr>
                <w:rFonts w:ascii="Times New Roman" w:hAnsi="Times New Roman"/>
                <w:caps w:val="false"/>
                <w:smallCaps w:val="false"/>
                <w:sz w:val="20"/>
              </w:rPr>
              <w:t>2025 </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Commerce Media Solutions revenue increased </w:t>
            </w:r>
            <w:bookmarkStart w:id="88" w:name="led700276F202607081783541079024"/>
            <w:bookmarkEnd w:id="88"/>
            <w:r>
              <w:rPr>
                <w:rFonts w:ascii="Times New Roman" w:hAnsi="Times New Roman"/>
                <w:caps w:val="false"/>
                <w:smallCaps w:val="false"/>
                <w:sz w:val="20"/>
              </w:rPr>
              <w:t>96% to </w:t>
            </w:r>
            <w:bookmarkStart w:id="89" w:name="led700276F202607081783541084304"/>
            <w:bookmarkEnd w:id="89"/>
            <w:r>
              <w:rPr>
                <w:rFonts w:ascii="Times New Roman" w:hAnsi="Times New Roman"/>
                <w:caps w:val="false"/>
                <w:smallCaps w:val="false"/>
                <w:sz w:val="20"/>
              </w:rPr>
              <w:t>$56.4 million, compared to </w:t>
            </w:r>
            <w:bookmarkStart w:id="90" w:name="led700276F202607081783541090096"/>
            <w:bookmarkEnd w:id="90"/>
            <w:r>
              <w:rPr>
                <w:rFonts w:ascii="Times New Roman" w:hAnsi="Times New Roman"/>
                <w:caps w:val="false"/>
                <w:smallCaps w:val="false"/>
                <w:sz w:val="20"/>
              </w:rPr>
              <w:t>$28.7 million in H1 </w:t>
            </w:r>
            <w:bookmarkStart w:id="91" w:name="led28565F2020226158523965949912"/>
            <w:bookmarkEnd w:id="91"/>
            <w:r>
              <w:rPr>
                <w:rFonts w:ascii="Times New Roman" w:hAnsi="Times New Roman"/>
                <w:caps w:val="false"/>
                <w:smallCaps w:val="false"/>
                <w:sz w:val="20"/>
              </w:rPr>
              <w:t>2025</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Owned and Operated revenue decreased </w:t>
            </w:r>
            <w:bookmarkStart w:id="92" w:name="led700276F202607081783541046464"/>
            <w:bookmarkEnd w:id="92"/>
            <w:r>
              <w:rPr>
                <w:rFonts w:ascii="Times New Roman" w:hAnsi="Times New Roman"/>
                <w:caps w:val="false"/>
                <w:smallCaps w:val="false"/>
                <w:sz w:val="20"/>
              </w:rPr>
              <w:t>39% to </w:t>
            </w:r>
            <w:bookmarkStart w:id="93" w:name="led700274F202607151784118798280"/>
            <w:bookmarkEnd w:id="93"/>
            <w:r>
              <w:rPr>
                <w:rFonts w:ascii="Times New Roman" w:hAnsi="Times New Roman"/>
                <w:caps w:val="false"/>
                <w:smallCaps w:val="false"/>
                <w:sz w:val="20"/>
              </w:rPr>
              <w:t>$32.0 million, compared to </w:t>
            </w:r>
            <w:bookmarkStart w:id="94" w:name="led700276F202607081783541057728"/>
            <w:bookmarkEnd w:id="94"/>
            <w:r>
              <w:rPr>
                <w:rFonts w:ascii="Times New Roman" w:hAnsi="Times New Roman"/>
                <w:caps w:val="false"/>
                <w:smallCaps w:val="false"/>
                <w:sz w:val="20"/>
              </w:rPr>
              <w:t>$52.5 million in H1 </w:t>
            </w:r>
            <w:bookmarkStart w:id="95" w:name="led28565F2020226158523965949913"/>
            <w:bookmarkEnd w:id="95"/>
            <w:r>
              <w:rPr>
                <w:rFonts w:ascii="Times New Roman" w:hAnsi="Times New Roman"/>
                <w:caps w:val="false"/>
                <w:smallCaps w:val="false"/>
                <w:sz w:val="20"/>
              </w:rPr>
              <w:t>2025, as the Company continued its shift in focus and revenue mix to Commerce Media Solutions</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H1 2025 revenue included $15.7 million from Call Solutions, which was sold in January 2026, and H1 2026 included a $0.4 million write-down of revenue for the ACA business discontinued in the third quarter of 2024. Aggregate revenue from the continuing businesses increased 10% in the first half of 2026 compared to H1 2025</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pPr>
            <w:r>
              <w:rPr/>
              <w:t> </w:t>
            </w:r>
          </w:p>
        </w:tc>
      </w:tr>
      <w:tr>
        <w:trPr/>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loss of </w:t>
            </w:r>
            <w:bookmarkStart w:id="96" w:name="led28561F202607091783605162152"/>
            <w:bookmarkEnd w:id="96"/>
            <w:r>
              <w:rPr>
                <w:rFonts w:ascii="Times New Roman" w:hAnsi="Times New Roman"/>
                <w:caps w:val="false"/>
                <w:smallCaps w:val="false"/>
                <w:sz w:val="20"/>
              </w:rPr>
              <w:t>$11.5 million, or </w:t>
            </w:r>
            <w:bookmarkStart w:id="97" w:name="led28561F202607091783605171960"/>
            <w:bookmarkEnd w:id="97"/>
            <w:r>
              <w:rPr>
                <w:rFonts w:ascii="Times New Roman" w:hAnsi="Times New Roman"/>
                <w:caps w:val="false"/>
                <w:smallCaps w:val="false"/>
                <w:sz w:val="20"/>
              </w:rPr>
              <w:t>$0.37 per share, compared to a net loss of </w:t>
            </w:r>
            <w:bookmarkStart w:id="98" w:name="led28561F202607091783605176120"/>
            <w:bookmarkEnd w:id="98"/>
            <w:r>
              <w:rPr>
                <w:rFonts w:ascii="Times New Roman" w:hAnsi="Times New Roman"/>
                <w:caps w:val="false"/>
                <w:smallCaps w:val="false"/>
                <w:sz w:val="20"/>
              </w:rPr>
              <w:t>$15.5 million, or </w:t>
            </w:r>
            <w:bookmarkStart w:id="99" w:name="led28561F202607091783605185144"/>
            <w:bookmarkEnd w:id="99"/>
            <w:r>
              <w:rPr>
                <w:rFonts w:ascii="Times New Roman" w:hAnsi="Times New Roman"/>
                <w:caps w:val="false"/>
                <w:smallCaps w:val="false"/>
                <w:sz w:val="20"/>
              </w:rPr>
              <w:t>$0.68 per share, for H1 </w:t>
            </w:r>
            <w:bookmarkStart w:id="100" w:name="led28565F2020226158523965949914"/>
            <w:bookmarkEnd w:id="100"/>
            <w:r>
              <w:rPr>
                <w:rFonts w:ascii="Times New Roman" w:hAnsi="Times New Roman"/>
                <w:caps w:val="false"/>
                <w:smallCaps w:val="false"/>
                <w:sz w:val="20"/>
              </w:rPr>
              <w:t>2025</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pPr>
            <w:r>
              <w:rPr/>
              <w:t> </w:t>
            </w:r>
          </w:p>
        </w:tc>
      </w:tr>
      <w:tr>
        <w:trPr/>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(exclusive of depreciation and amortization) of </w:t>
            </w:r>
            <w:bookmarkStart w:id="101" w:name="led28616F202607091783605272072"/>
            <w:bookmarkEnd w:id="101"/>
            <w:r>
              <w:rPr>
                <w:rFonts w:ascii="Times New Roman" w:hAnsi="Times New Roman"/>
                <w:caps w:val="false"/>
                <w:smallCaps w:val="false"/>
                <w:sz w:val="20"/>
              </w:rPr>
              <w:t>$24.0 million, an increase of </w:t>
            </w:r>
            <w:bookmarkStart w:id="102" w:name="led28616F202607091783605277368"/>
            <w:bookmarkEnd w:id="102"/>
            <w:r>
              <w:rPr>
                <w:rFonts w:ascii="Times New Roman" w:hAnsi="Times New Roman"/>
                <w:caps w:val="false"/>
                <w:smallCaps w:val="false"/>
                <w:sz w:val="20"/>
              </w:rPr>
              <w:t>11% compared to H1 </w:t>
            </w:r>
            <w:bookmarkStart w:id="103" w:name="led28565F2020226158523965949916"/>
            <w:bookmarkEnd w:id="103"/>
            <w:r>
              <w:rPr>
                <w:rFonts w:ascii="Times New Roman" w:hAnsi="Times New Roman"/>
                <w:caps w:val="false"/>
                <w:smallCaps w:val="false"/>
                <w:sz w:val="20"/>
              </w:rPr>
              <w:t>2025 and representing </w:t>
            </w:r>
            <w:bookmarkStart w:id="104" w:name="led28616F202607091783605292201"/>
            <w:bookmarkEnd w:id="104"/>
            <w:r>
              <w:rPr>
                <w:rFonts w:ascii="Times New Roman" w:hAnsi="Times New Roman"/>
                <w:caps w:val="false"/>
                <w:smallCaps w:val="false"/>
                <w:sz w:val="20"/>
              </w:rPr>
              <w:t>26% of revenue. Commerce Media Solutions reported gross profit (exclusive of depreciation and amortization) of </w:t>
            </w:r>
            <w:bookmarkStart w:id="105" w:name="led700276F202607081783541280199"/>
            <w:bookmarkEnd w:id="105"/>
            <w:r>
              <w:rPr>
                <w:rFonts w:ascii="Times New Roman" w:hAnsi="Times New Roman"/>
                <w:caps w:val="false"/>
                <w:smallCaps w:val="false"/>
                <w:sz w:val="20"/>
              </w:rPr>
              <w:t>$13.2 million, an increase of </w:t>
            </w:r>
            <w:bookmarkStart w:id="106" w:name="led700276F202607081783541285559"/>
            <w:bookmarkEnd w:id="106"/>
            <w:r>
              <w:rPr>
                <w:rFonts w:ascii="Times New Roman" w:hAnsi="Times New Roman"/>
                <w:caps w:val="false"/>
                <w:smallCaps w:val="false"/>
                <w:sz w:val="20"/>
              </w:rPr>
              <w:t>132% over H1 </w:t>
            </w:r>
            <w:bookmarkStart w:id="107" w:name="led28565F2020226158523965949915"/>
            <w:bookmarkEnd w:id="107"/>
            <w:r>
              <w:rPr>
                <w:rFonts w:ascii="Times New Roman" w:hAnsi="Times New Roman"/>
                <w:caps w:val="false"/>
                <w:smallCaps w:val="false"/>
                <w:sz w:val="20"/>
              </w:rPr>
              <w:t>2025 and representing </w:t>
            </w:r>
            <w:bookmarkStart w:id="108" w:name="led700276F202607081783541297936"/>
            <w:bookmarkEnd w:id="108"/>
            <w:r>
              <w:rPr>
                <w:rFonts w:ascii="Times New Roman" w:hAnsi="Times New Roman"/>
                <w:caps w:val="false"/>
                <w:smallCaps w:val="false"/>
                <w:sz w:val="20"/>
              </w:rPr>
              <w:t>23% of revenue for H1 </w:t>
            </w:r>
            <w:bookmarkStart w:id="109" w:name="led17401F202352316875329220325"/>
            <w:bookmarkEnd w:id="109"/>
            <w:r>
              <w:rPr>
                <w:rFonts w:ascii="Times New Roman" w:hAnsi="Times New Roman"/>
                <w:caps w:val="false"/>
                <w:smallCaps w:val="false"/>
                <w:sz w:val="20"/>
              </w:rPr>
              <w:t>2026</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pPr>
            <w:r>
              <w:rPr/>
              <w:t> </w:t>
            </w:r>
          </w:p>
        </w:tc>
      </w:tr>
      <w:tr>
        <w:trPr/>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Media margin of </w:t>
            </w:r>
            <w:bookmarkStart w:id="110" w:name="led28616F202607091783605303368"/>
            <w:bookmarkEnd w:id="110"/>
            <w:r>
              <w:rPr>
                <w:rFonts w:ascii="Times New Roman" w:hAnsi="Times New Roman"/>
                <w:caps w:val="false"/>
                <w:smallCaps w:val="false"/>
                <w:sz w:val="20"/>
              </w:rPr>
              <w:t>$31.5 million, an increase of </w:t>
            </w:r>
            <w:bookmarkStart w:id="111" w:name="led28616F202607091783605307536"/>
            <w:bookmarkEnd w:id="111"/>
            <w:r>
              <w:rPr>
                <w:rFonts w:ascii="Times New Roman" w:hAnsi="Times New Roman"/>
                <w:caps w:val="false"/>
                <w:smallCaps w:val="false"/>
                <w:sz w:val="20"/>
              </w:rPr>
              <w:t>23% compared to H1 </w:t>
            </w:r>
            <w:bookmarkStart w:id="112" w:name="led28565F2020226158523965949918"/>
            <w:bookmarkEnd w:id="112"/>
            <w:r>
              <w:rPr>
                <w:rFonts w:ascii="Times New Roman" w:hAnsi="Times New Roman"/>
                <w:caps w:val="false"/>
                <w:smallCaps w:val="false"/>
                <w:sz w:val="20"/>
              </w:rPr>
              <w:t>2025 and representing </w:t>
            </w:r>
            <w:bookmarkStart w:id="113" w:name="led28616F202607091783605313920"/>
            <w:bookmarkEnd w:id="113"/>
            <w:r>
              <w:rPr>
                <w:rFonts w:ascii="Times New Roman" w:hAnsi="Times New Roman"/>
                <w:caps w:val="false"/>
                <w:smallCaps w:val="false"/>
                <w:sz w:val="20"/>
              </w:rPr>
              <w:t>34% of revenue. Commerce Media Solutions reported media margin of </w:t>
            </w:r>
            <w:bookmarkStart w:id="114" w:name="led700276F202607081783541317031"/>
            <w:bookmarkEnd w:id="114"/>
            <w:r>
              <w:rPr>
                <w:rFonts w:ascii="Times New Roman" w:hAnsi="Times New Roman"/>
                <w:caps w:val="false"/>
                <w:smallCaps w:val="false"/>
                <w:sz w:val="20"/>
              </w:rPr>
              <w:t>$18.2 million, an increase of </w:t>
            </w:r>
            <w:bookmarkStart w:id="115" w:name="led700276F202607081783541321447"/>
            <w:bookmarkEnd w:id="115"/>
            <w:r>
              <w:rPr>
                <w:rFonts w:ascii="Times New Roman" w:hAnsi="Times New Roman"/>
                <w:caps w:val="false"/>
                <w:smallCaps w:val="false"/>
                <w:sz w:val="20"/>
              </w:rPr>
              <w:t>188% over H1 </w:t>
            </w:r>
            <w:bookmarkStart w:id="116" w:name="led28565F2020226158523965949917"/>
            <w:bookmarkEnd w:id="116"/>
            <w:r>
              <w:rPr>
                <w:rFonts w:ascii="Times New Roman" w:hAnsi="Times New Roman"/>
                <w:caps w:val="false"/>
                <w:smallCaps w:val="false"/>
                <w:sz w:val="20"/>
              </w:rPr>
              <w:t>2025 and representing </w:t>
            </w:r>
            <w:bookmarkStart w:id="117" w:name="led700276F202607081783541342647"/>
            <w:bookmarkEnd w:id="117"/>
            <w:r>
              <w:rPr>
                <w:rFonts w:ascii="Times New Roman" w:hAnsi="Times New Roman"/>
                <w:caps w:val="false"/>
                <w:smallCaps w:val="false"/>
                <w:sz w:val="20"/>
              </w:rPr>
              <w:t>32% of revenue for H1 </w:t>
            </w:r>
            <w:bookmarkStart w:id="118" w:name="led17401F202352316875329220326"/>
            <w:bookmarkEnd w:id="118"/>
            <w:r>
              <w:rPr>
                <w:rFonts w:ascii="Times New Roman" w:hAnsi="Times New Roman"/>
                <w:caps w:val="false"/>
                <w:smallCaps w:val="false"/>
                <w:sz w:val="20"/>
              </w:rPr>
              <w:t>2026</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pPr>
            <w:r>
              <w:rPr/>
              <w:t> </w:t>
            </w:r>
          </w:p>
        </w:tc>
      </w:tr>
      <w:tr>
        <w:trPr/>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loss of </w:t>
            </w:r>
            <w:bookmarkStart w:id="119" w:name="led28616F202607091783605325480"/>
            <w:bookmarkEnd w:id="119"/>
            <w:r>
              <w:rPr>
                <w:rFonts w:ascii="Times New Roman" w:hAnsi="Times New Roman"/>
                <w:caps w:val="false"/>
                <w:smallCaps w:val="false"/>
                <w:sz w:val="20"/>
              </w:rPr>
              <w:t>$5.4 million, compared to </w:t>
            </w:r>
            <w:bookmarkStart w:id="120" w:name="led28616F202607091783605335496"/>
            <w:bookmarkEnd w:id="120"/>
            <w:r>
              <w:rPr>
                <w:rFonts w:ascii="Times New Roman" w:hAnsi="Times New Roman"/>
                <w:caps w:val="false"/>
                <w:smallCaps w:val="false"/>
                <w:sz w:val="20"/>
              </w:rPr>
              <w:t>$5.9 million for H1 </w:t>
            </w:r>
            <w:bookmarkStart w:id="121" w:name="led28565F2020226158523965949919"/>
            <w:bookmarkEnd w:id="121"/>
            <w:r>
              <w:rPr>
                <w:rFonts w:ascii="Times New Roman" w:hAnsi="Times New Roman"/>
                <w:caps w:val="false"/>
                <w:smallCaps w:val="false"/>
                <w:sz w:val="20"/>
              </w:rPr>
              <w:t>2025, and representing </w:t>
            </w:r>
            <w:bookmarkStart w:id="122" w:name="led28616F202607091783605339936"/>
            <w:bookmarkEnd w:id="122"/>
            <w:r>
              <w:rPr>
                <w:rFonts w:ascii="Times New Roman" w:hAnsi="Times New Roman"/>
                <w:caps w:val="false"/>
                <w:smallCaps w:val="false"/>
                <w:sz w:val="20"/>
              </w:rPr>
              <w:t>6% of revenue</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pPr>
            <w:r>
              <w:rPr/>
              <w:t> </w:t>
            </w:r>
          </w:p>
        </w:tc>
      </w:tr>
      <w:tr>
        <w:trPr/>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net loss of </w:t>
            </w:r>
            <w:bookmarkStart w:id="123" w:name="led28616F202607091783605355337"/>
            <w:bookmarkEnd w:id="123"/>
            <w:r>
              <w:rPr>
                <w:rFonts w:ascii="Times New Roman" w:hAnsi="Times New Roman"/>
                <w:caps w:val="false"/>
                <w:smallCaps w:val="false"/>
                <w:sz w:val="20"/>
              </w:rPr>
              <w:t>$10.0 million, or </w:t>
            </w:r>
            <w:bookmarkStart w:id="124" w:name="led28616F202607091783605358544"/>
            <w:bookmarkEnd w:id="124"/>
            <w:r>
              <w:rPr>
                <w:rFonts w:ascii="Times New Roman" w:hAnsi="Times New Roman"/>
                <w:caps w:val="false"/>
                <w:smallCaps w:val="false"/>
                <w:sz w:val="20"/>
              </w:rPr>
              <w:t>$0.32 per share, compared to </w:t>
            </w:r>
            <w:bookmarkStart w:id="125" w:name="led28616F202607091783605362880"/>
            <w:bookmarkEnd w:id="125"/>
            <w:r>
              <w:rPr>
                <w:rFonts w:ascii="Times New Roman" w:hAnsi="Times New Roman"/>
                <w:caps w:val="false"/>
                <w:smallCaps w:val="false"/>
                <w:sz w:val="20"/>
              </w:rPr>
              <w:t>$12.5 million, or </w:t>
            </w:r>
            <w:bookmarkStart w:id="126" w:name="led28616F202607091783605367047"/>
            <w:bookmarkEnd w:id="126"/>
            <w:r>
              <w:rPr>
                <w:rFonts w:ascii="Times New Roman" w:hAnsi="Times New Roman"/>
                <w:caps w:val="false"/>
                <w:smallCaps w:val="false"/>
                <w:sz w:val="20"/>
              </w:rPr>
              <w:t>$0.55 per share, for H1 </w:t>
            </w:r>
            <w:bookmarkStart w:id="127" w:name="led28565F2020226158523965949920"/>
            <w:bookmarkEnd w:id="127"/>
            <w:r>
              <w:rPr>
                <w:rFonts w:ascii="Times New Roman" w:hAnsi="Times New Roman"/>
                <w:caps w:val="false"/>
                <w:smallCaps w:val="false"/>
                <w:sz w:val="20"/>
              </w:rPr>
              <w:t>2025</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Media margin, adjusted EBITDA, and adjusted net loss are non-GAAP financial measures, as defined and reconciled below.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Business Outlook &amp; Goals</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Continue to scale and grow Commerce Media Solutions as a percentage of total consolidated revenue; maintain Commerce Media Solutions gross margins in the mid-to-high twenties</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Enhance Fluent’s Commerce Media Solutions partnership network by adding top-tier media partners and expanding beyond traditional retail channels and into new verticals including travel, lifestyle, and home services</w:t>
            </w:r>
          </w:p>
        </w:tc>
      </w:tr>
      <w:tr>
        <w:trPr/>
        <w:tc>
          <w:tcPr>
            <w:tcW w:w="110" w:type="dxa"/>
            <w:tcBorders/>
            <w:vAlign w:val="center"/>
          </w:tcPr>
          <w:p>
            <w:pPr>
              <w:pStyle w:val="TableContents"/>
              <w:bidi w:val="0"/>
              <w:spacing w:before="0" w:after="0"/>
              <w:ind w:left="0" w:right="0" w:hanging="0"/>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Launch and scale Fluent’s new in-store commerce media offering across existing and new retail partners</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Drive consolidated revenue growth and improved profitability. Given current visibility, the Company expects full-year double-digit consolidated growth in revenue on aggregate continuing businesses and improved full-year adjusted EBITDA in 2026</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Conference Call</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Fluent, Inc. will host a conference call on Monday, August 10, 2026, at 4:30 PM ET to discuss its 2026 second quarter financial results. The conference call can be accessed by phone after registering online at https://register-conf.media-server.com/register/BIef43515989ce4f81a991fa3f398751a7. The call will also be webcast simultaneously on the Fluent website at https://investors.fluentco.com/. Following the completion of the earnings call, a recorded replay of the webcast will be available for those unable to participate. To listen to the telephone replay, please connect via https://edge.media-server.com/mmc/p/ccdmyf3p. The replay will be available for one year, via the Fluent website https://investors.fluentco.com.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About Fluent, Inc.</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Fluent, Inc. (NASDAQ: FLNT) is a commerce media solutions provider connecting top-tier brands with highly engaged consumers. Leveraging exclusive ad inventory, robust first-party data, and proprietary machine learning, Fluent unlocks additional revenue streams for partners and empowers advertisers to acquire their most valuable customers at scale. Founded in 2010, Fluent uses its deep expertise in performance marketing to drive monetization and increase engagement at key touchpoints across the customer journey. For more insights, visit http://www.fluentco.com/.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Safe Harbor Statement Under the Private Securities Litigation Reform Act of 1995</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matters contained in this press release may be considered to be "forward-looking statements" within the meaning of the Securities Act of 1933, as amended, and the Securities Exchange Act of 1934, as amended. Such statements include statements regarding the intent, belief, or current expectations or anticipations of Fluent and members of our management team. Factors currently known to management that could cause actual results to differ materially from those in forward-looking statements include the following: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Our reliance on an uncommitted financing agreement raises substantial doubt about our ability to continue as a going concern;</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Ability to operate in a competitive, rapidly changing and highly regulated industry, which makes it difficult to evaluate our business and prospects;</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Dependence on the gaming industry;</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Unfavorable publicity and negative public perception about the digital marketing industry or us;</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potential sudden reduction in online marketing spend by our clients, a loss of clients or lower advertising yields; </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Credit risk from certain clients;</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Our Commerce Media Solutions business is relatively new and operates in a market with established competitors, which may impact our ability to scale effectively; </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Our need to continue investing in technology for our Commerce Media Solutions business;</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Our competitive disadvantage due to our more selective approach to traffic sources;</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A potential decline in the supply of media available to us through third parties or an increase in the price of such media; </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Potential loss of competitiveness from slow mobile adoption and CRM dependence; </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Challenges scaling infrastructure and products to support growth while maintaining profitability;</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Global economic or political instability, including the potential impact of tariffs, inflation, interest rates, military conflicts and other geopolitical developments, including the ongoing military conflicts in the Middle East;</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Challenges managing the complexity of our international operations and workforce;</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Strategic alternatives that could complicate operations or divert management's attention; </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Dependence on our key personnel and ability to attract or retain employees;</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Dependence upon third-party service providers and potential liability related to their actions or platform malfunctions;</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Compliance with a significant number of governmental laws and regulations, including those regarding telemarketing, email marketing, text messaging, privacy, and data protection; </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The outcome of litigation, inquiries, investigations, examinations, or other legal proceedings in which we are or may become involved, or in which our clients or competitors are involved;</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Potential sales and use taxes and other taxes on our business;</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Our actual or perceived failure to safeguard any personal information or user privacy; </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Failure to adequately protect intellectual property rights or allegations of infringement of intellectual property rights;</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Potential liability or expenses for legal claims based on the nature and content of the materials we create or distribute, including those provided by third parties, as a creator and a distributor of digital media content;</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Our potential access to additional capital in the future may be limited or unavailable on acceptable terms; </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Our ability to maintain our listing on The Nasdaq Capital Market;</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The volatility of our stock price and impact on our investors;</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Potential dilutive effect of any future issuances of shares of our common stock;</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Lack of cash dividends for the foreseeable future; and</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Status of a smaller reporting company and non-accelerated filer, which involves certain reduced governance and disclosure requirements.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and additional factors to be considered are set forth under "Risk Factors" in our Annual Report on Form 10-K for the fiscal year ended </w:t>
      </w:r>
      <w:bookmarkStart w:id="128" w:name="led28565F20202261585240676100"/>
      <w:bookmarkEnd w:id="128"/>
      <w:r>
        <w:rPr>
          <w:rFonts w:ascii="Times New Roman;Times;serif" w:hAnsi="Times New Roman;Times;serif"/>
          <w:sz w:val="20"/>
        </w:rPr>
        <w:t>December 31, 2025 and in our other filings with the Securities and Exchange Commission. Fluent undertakes no obligation to update or revise forward-looking statements to reflect changed assumptions, the occurrence of unanticipated events or changes to future operating results or expectations, except as required by law.</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b/>
          <w:sz w:val="20"/>
        </w:rPr>
        <w:t>FLUENT, INC.</w:t>
      </w:r>
      <w:r>
        <w:rPr>
          <w:rFonts w:ascii="Times New Roman;Times;serif" w:hAnsi="Times New Roman;Times;serif"/>
          <w:sz w:val="20"/>
        </w:rPr>
        <w:t xml:space="preserve">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b/>
          <w:sz w:val="20"/>
        </w:rPr>
        <w:t>CONSOLIDATED BALANCE SHEETS</w:t>
      </w:r>
      <w:r>
        <w:rPr>
          <w:rFonts w:ascii="Times New Roman;Times;serif" w:hAnsi="Times New Roman;Times;serif"/>
          <w:sz w:val="20"/>
        </w:rPr>
        <w:t xml:space="preserve">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b/>
          <w:sz w:val="20"/>
        </w:rPr>
        <w:t>(Amounts in thousands, except share and per share data)</w:t>
      </w:r>
      <w:r>
        <w:rPr>
          <w:rFonts w:ascii="Times New Roman;Times;serif" w:hAnsi="Times New Roman;Times;serif"/>
          <w:sz w:val="20"/>
        </w:rPr>
        <w:t xml:space="preserve">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sz w:val="20"/>
        </w:rPr>
        <w:t xml:space="preserve"> </w:t>
      </w:r>
    </w:p>
    <w:p>
      <w:pPr>
        <w:pStyle w:val="TextBody"/>
        <w:bidi w:val="0"/>
        <w:spacing w:before="0" w:after="0"/>
        <w:ind w:left="144" w:right="144" w:hanging="0"/>
        <w:jc w:val="both"/>
        <w:rPr/>
      </w:pPr>
      <w:r>
        <w:rPr/>
        <w:t>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29" w:name="led-table-d6f75aff-f521-4bdf-8c9a-a3901e"/>
      <w:bookmarkStart w:id="130" w:name="led-table-d6f75aff-f521-4bdf-8c9a-a3901e"/>
      <w:bookmarkEnd w:id="130"/>
    </w:p>
    <w:tbl>
      <w:tblPr>
        <w:tblW w:w="10205" w:type="dxa"/>
        <w:jc w:val="left"/>
        <w:tblInd w:w="0" w:type="dxa"/>
        <w:tblLayout w:type="fixed"/>
        <w:tblCellMar>
          <w:top w:w="0" w:type="dxa"/>
          <w:left w:w="0" w:type="dxa"/>
          <w:bottom w:w="0" w:type="dxa"/>
          <w:right w:w="0" w:type="dxa"/>
        </w:tblCellMar>
      </w:tblPr>
      <w:tblGrid>
        <w:gridCol w:w="6427"/>
        <w:gridCol w:w="60"/>
        <w:gridCol w:w="2065"/>
        <w:gridCol w:w="60"/>
        <w:gridCol w:w="1593"/>
      </w:tblGrid>
      <w:tr>
        <w:trPr/>
        <w:tc>
          <w:tcPr>
            <w:tcW w:w="642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0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June</w:t>
            </w:r>
            <w:r>
              <w:rPr>
                <w:rFonts w:ascii="Times New Roman" w:hAnsi="Times New Roman"/>
                <w:caps w:val="false"/>
                <w:smallCaps w:val="false"/>
                <w:sz w:val="20"/>
              </w:rPr>
              <w:t> </w:t>
            </w:r>
            <w:r>
              <w:rPr>
                <w:rFonts w:ascii="Times New Roman" w:hAnsi="Times New Roman"/>
                <w:b/>
                <w:caps w:val="false"/>
                <w:smallCaps w:val="false"/>
                <w:sz w:val="20"/>
              </w:rPr>
              <w:t>30, 2026 (unaudited)</w:t>
            </w:r>
          </w:p>
        </w:tc>
        <w:tc>
          <w:tcPr>
            <w:tcW w:w="60" w:type="dxa"/>
            <w:tcBorders/>
            <w:vAlign w:val="center"/>
          </w:tcPr>
          <w:p>
            <w:pPr>
              <w:pStyle w:val="TableContents"/>
              <w:bidi w:val="0"/>
              <w:spacing w:before="0" w:after="0"/>
              <w:ind w:left="0" w:right="0" w:hanging="0"/>
              <w:jc w:val="left"/>
              <w:rPr/>
            </w:pPr>
            <w:r>
              <w:rPr/>
              <w:t> </w:t>
            </w:r>
          </w:p>
        </w:tc>
        <w:tc>
          <w:tcPr>
            <w:tcW w:w="15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December</w:t>
            </w:r>
            <w:r>
              <w:rPr>
                <w:rFonts w:ascii="Times New Roman" w:hAnsi="Times New Roman"/>
                <w:caps w:val="false"/>
                <w:smallCaps w:val="false"/>
                <w:sz w:val="20"/>
              </w:rPr>
              <w:t> </w:t>
            </w:r>
            <w:r>
              <w:rPr>
                <w:rFonts w:ascii="Times New Roman" w:hAnsi="Times New Roman"/>
                <w:b/>
                <w:caps w:val="false"/>
                <w:smallCaps w:val="false"/>
                <w:sz w:val="20"/>
              </w:rPr>
              <w:t>31, 2025</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shd w:fill="CCEEFF" w:val="clear"/>
            <w:vAlign w:val="center"/>
          </w:tcPr>
          <w:p>
            <w:pPr>
              <w:pStyle w:val="TableContents"/>
              <w:bidi w:val="0"/>
              <w:spacing w:before="0" w:after="0"/>
              <w:ind w:left="0" w:right="0" w:hanging="0"/>
              <w:jc w:val="left"/>
              <w:rPr/>
            </w:pPr>
            <w:r>
              <w:rPr/>
              <w:t> </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$ 6,877</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$ 12,935</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 of allowance for credit losses of $146 and $163, respectively</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39,399</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46,735</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6,350</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7,799</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52,626</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67,469</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710</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710</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150</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2,487</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2,859</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16,720</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17,276</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2,440</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715</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$ 75,133</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$ 89,133</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 AND SHAREHOLDERS'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shd w:fill="FFFFFF" w:val="clear"/>
            <w:vAlign w:val="center"/>
          </w:tcPr>
          <w:p>
            <w:pPr>
              <w:pStyle w:val="TableContents"/>
              <w:bidi w:val="0"/>
              <w:spacing w:before="0" w:after="0"/>
              <w:ind w:left="0" w:right="0" w:hanging="0"/>
              <w:jc w:val="left"/>
              <w:rPr/>
            </w:pPr>
            <w:r>
              <w:rPr/>
              <w:t> </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$ 8,229</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$ 7,200</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23,471</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25,163</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120</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721</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Short-term debt, net</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26,759</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30,846</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operating lease liability</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1,104</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1,104</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59,683</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65,034</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Convertible Notes, at fair value with related parties</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5,155</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3,734</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 net</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1,578</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1,985</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613</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168</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67,029</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70,921</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Contingencies</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shd w:fill="CCEEFF" w:val="clear"/>
            <w:vAlign w:val="center"/>
          </w:tcPr>
          <w:p>
            <w:pPr>
              <w:pStyle w:val="TableContents"/>
              <w:bidi w:val="0"/>
              <w:spacing w:before="0" w:after="0"/>
              <w:ind w:left="0" w:right="0" w:hanging="0"/>
              <w:jc w:val="left"/>
              <w:rPr/>
            </w:pPr>
            <w:r>
              <w:rPr/>
              <w:t> </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shd w:fill="FFFFFF" w:val="clear"/>
            <w:vAlign w:val="center"/>
          </w:tcPr>
          <w:p>
            <w:pPr>
              <w:pStyle w:val="TableContents"/>
              <w:bidi w:val="0"/>
              <w:spacing w:before="0" w:after="0"/>
              <w:ind w:left="0" w:right="0" w:hanging="0"/>
              <w:jc w:val="left"/>
              <w:rPr/>
            </w:pPr>
            <w:r>
              <w:rPr/>
              <w:t> </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Preferred stock — $0.0001 par value, 10,000,000 Shares authorized;</w:t>
              <w:br/>
              <w:t>Shares outstanding — 0 shares for both periods</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shd w:fill="CCEEFF" w:val="clear"/>
            <w:vAlign w:val="center"/>
          </w:tcPr>
          <w:p>
            <w:pPr>
              <w:pStyle w:val="TableContents"/>
              <w:bidi w:val="0"/>
              <w:spacing w:before="0" w:after="0"/>
              <w:ind w:left="0" w:right="0" w:hanging="0"/>
              <w:jc w:val="left"/>
              <w:rPr/>
            </w:pPr>
            <w:r>
              <w:rPr/>
              <w:t>—</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 $0.0005 par value, 200,000,000 Shares authorized; </w:t>
              <w:br/>
              <w:t>Shares issued —  32,362,277 and 30,404,779, respectively; and</w:t>
              <w:br/>
              <w:t>Shares outstanding — 31,593,682 and 29,636,184, respectively</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55</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53</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Treasury stock, at cost — 768,595 and 768,595 Shares, respectively</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(11,407)</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(11,407)</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468,949</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467,528</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(449,493)</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(437,962)</w:t>
            </w:r>
          </w:p>
        </w:tc>
      </w:tr>
      <w:tr>
        <w:trPr/>
        <w:tc>
          <w:tcPr>
            <w:tcW w:w="642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shareholders'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20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8,104</w:t>
            </w:r>
          </w:p>
        </w:tc>
        <w:tc>
          <w:tcPr>
            <w:tcW w:w="60" w:type="dxa"/>
            <w:tcBorders/>
            <w:shd w:fill="FFFFFF" w:val="clear"/>
            <w:vAlign w:val="center"/>
          </w:tcPr>
          <w:p>
            <w:pPr>
              <w:pStyle w:val="TableContents"/>
              <w:bidi w:val="0"/>
              <w:spacing w:before="0" w:after="0"/>
              <w:ind w:left="0" w:right="0" w:hanging="0"/>
              <w:jc w:val="left"/>
              <w:rPr/>
            </w:pPr>
            <w:r>
              <w:rPr/>
              <w:t> </w:t>
            </w:r>
          </w:p>
        </w:tc>
        <w:tc>
          <w:tcPr>
            <w:tcW w:w="15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18,212</w:t>
            </w:r>
          </w:p>
        </w:tc>
      </w:tr>
      <w:tr>
        <w:trPr/>
        <w:tc>
          <w:tcPr>
            <w:tcW w:w="642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shareholders'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2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$ 75,133</w:t>
            </w:r>
          </w:p>
        </w:tc>
        <w:tc>
          <w:tcPr>
            <w:tcW w:w="60" w:type="dxa"/>
            <w:tcBorders/>
            <w:shd w:fill="CCEEFF" w:val="clear"/>
            <w:vAlign w:val="center"/>
          </w:tcPr>
          <w:p>
            <w:pPr>
              <w:pStyle w:val="TableContents"/>
              <w:bidi w:val="0"/>
              <w:spacing w:before="0" w:after="0"/>
              <w:ind w:left="0" w:right="0" w:hanging="0"/>
              <w:jc w:val="left"/>
              <w:rPr/>
            </w:pPr>
            <w:r>
              <w:rPr/>
              <w:t> </w:t>
            </w:r>
          </w:p>
        </w:tc>
        <w:tc>
          <w:tcPr>
            <w:tcW w:w="15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$ 89,133</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b/>
          <w:sz w:val="20"/>
        </w:rPr>
        <w:t>FLUENT, INC.</w:t>
      </w:r>
      <w:r>
        <w:rPr>
          <w:rFonts w:ascii="Times New Roman;Times;serif" w:hAnsi="Times New Roman;Times;serif"/>
          <w:sz w:val="20"/>
        </w:rPr>
        <w:t xml:space="preserve">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b/>
          <w:sz w:val="20"/>
        </w:rPr>
        <w:t>CONSOLIDATED STATEMENTS OF OPERATIONS</w:t>
      </w:r>
      <w:r>
        <w:rPr>
          <w:rFonts w:ascii="Times New Roman;Times;serif" w:hAnsi="Times New Roman;Times;serif"/>
          <w:sz w:val="20"/>
        </w:rPr>
        <w:t xml:space="preserve">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b/>
          <w:sz w:val="20"/>
        </w:rPr>
        <w:t>(Amounts in thousands, except share and per share data)</w:t>
      </w:r>
      <w:r>
        <w:rPr>
          <w:rFonts w:ascii="Times New Roman;Times;serif" w:hAnsi="Times New Roman;Times;serif"/>
          <w:sz w:val="20"/>
        </w:rPr>
        <w:t xml:space="preserve">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sz w:val="20"/>
        </w:rPr>
        <w:t xml:space="preserve"> </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5215"/>
        <w:gridCol w:w="60"/>
        <w:gridCol w:w="131"/>
        <w:gridCol w:w="1002"/>
        <w:gridCol w:w="84"/>
        <w:gridCol w:w="63"/>
        <w:gridCol w:w="131"/>
        <w:gridCol w:w="1002"/>
        <w:gridCol w:w="80"/>
        <w:gridCol w:w="60"/>
        <w:gridCol w:w="125"/>
        <w:gridCol w:w="952"/>
        <w:gridCol w:w="80"/>
        <w:gridCol w:w="60"/>
        <w:gridCol w:w="125"/>
        <w:gridCol w:w="952"/>
        <w:gridCol w:w="83"/>
      </w:tblGrid>
      <w:tr>
        <w:trPr/>
        <w:tc>
          <w:tcPr>
            <w:tcW w:w="52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31" w:name=".amt.D3"/>
            <w:bookmarkEnd w:id="131"/>
          </w:p>
        </w:tc>
        <w:tc>
          <w:tcPr>
            <w:tcW w:w="24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32" w:name=".amt.D5"/>
            <w:bookmarkEnd w:id="132"/>
          </w:p>
        </w:tc>
        <w:tc>
          <w:tcPr>
            <w:tcW w:w="22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2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33" w:name=".amt.D2"/>
            <w:bookmarkEnd w:id="133"/>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4"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bookmarkStart w:id="134" w:name=".amt.D31"/>
            <w:bookmarkStart w:id="135" w:name=".amt.D32"/>
            <w:bookmarkEnd w:id="134"/>
            <w:bookmarkEnd w:id="135"/>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36" w:name=".amt.D4"/>
            <w:bookmarkEnd w:id="136"/>
          </w:p>
        </w:tc>
        <w:tc>
          <w:tcPr>
            <w:tcW w:w="10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37" w:name=".amt.D51"/>
            <w:bookmarkStart w:id="138" w:name=".amt.D52"/>
            <w:bookmarkEnd w:id="137"/>
            <w:bookmarkEnd w:id="138"/>
          </w:p>
        </w:tc>
        <w:tc>
          <w:tcPr>
            <w:tcW w:w="10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2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shd w:fill="CCEEFF" w:val="clear"/>
            <w:vAlign w:val="center"/>
          </w:tcPr>
          <w:p>
            <w:pPr>
              <w:pStyle w:val="TableContents"/>
              <w:bidi w:val="0"/>
              <w:spacing w:before="0" w:after="0"/>
              <w:ind w:left="0" w:right="0" w:hanging="0"/>
              <w:jc w:val="left"/>
              <w:rPr/>
            </w:pPr>
            <w:r>
              <w:rPr/>
              <w:t> </w:t>
            </w:r>
            <w:bookmarkStart w:id="139" w:name=".symb.2"/>
            <w:bookmarkEnd w:id="139"/>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40" w:name=".amt.2"/>
            <w:bookmarkEnd w:id="140"/>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48,449</w:t>
            </w:r>
          </w:p>
        </w:tc>
        <w:tc>
          <w:tcPr>
            <w:tcW w:w="84"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bookmarkStart w:id="141" w:name=".symb.3"/>
            <w:bookmarkEnd w:id="141"/>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42" w:name=".amt.3"/>
            <w:bookmarkEnd w:id="142"/>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44,706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143" w:name=".symb.4"/>
            <w:bookmarkEnd w:id="14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44" w:name=".amt.4"/>
            <w:bookmarkEnd w:id="144"/>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93,301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145" w:name=".symb.5"/>
            <w:bookmarkEnd w:id="145"/>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46" w:name=".amt.5"/>
            <w:bookmarkEnd w:id="146"/>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99,916</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2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Costs and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2"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2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revenue (exclusive of 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bookmarkStart w:id="147" w:name=".amt.21"/>
            <w:bookmarkStart w:id="148" w:name=".amt.22"/>
            <w:bookmarkEnd w:id="147"/>
            <w:bookmarkEnd w:id="148"/>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34,440</w:t>
            </w:r>
          </w:p>
        </w:tc>
        <w:tc>
          <w:tcPr>
            <w:tcW w:w="84"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bookmarkStart w:id="149" w:name=".amt.31"/>
            <w:bookmarkStart w:id="150" w:name=".amt.32"/>
            <w:bookmarkEnd w:id="149"/>
            <w:bookmarkEnd w:id="150"/>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34,426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51" w:name=".amt.41"/>
            <w:bookmarkStart w:id="152" w:name=".amt.42"/>
            <w:bookmarkEnd w:id="151"/>
            <w:bookmarkEnd w:id="152"/>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69,253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53" w:name=".amt.51"/>
            <w:bookmarkStart w:id="154" w:name=".amt.52"/>
            <w:bookmarkEnd w:id="153"/>
            <w:bookmarkEnd w:id="154"/>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78,201</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2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bookmarkStart w:id="155" w:name=".amt.23"/>
            <w:bookmarkStart w:id="156" w:name=".amt.24"/>
            <w:bookmarkEnd w:id="155"/>
            <w:bookmarkEnd w:id="156"/>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4,777</w:t>
            </w:r>
          </w:p>
        </w:tc>
        <w:tc>
          <w:tcPr>
            <w:tcW w:w="84"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bookmarkStart w:id="157" w:name=".amt.33"/>
            <w:bookmarkStart w:id="158" w:name=".amt.34"/>
            <w:bookmarkEnd w:id="157"/>
            <w:bookmarkEnd w:id="158"/>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59" w:name=".amt.43"/>
            <w:bookmarkStart w:id="160" w:name=".amt.44"/>
            <w:bookmarkEnd w:id="159"/>
            <w:bookmarkEnd w:id="160"/>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9,198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1" w:name=".amt.53"/>
            <w:bookmarkStart w:id="162" w:name=".amt.54"/>
            <w:bookmarkEnd w:id="161"/>
            <w:bookmarkEnd w:id="162"/>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8,325</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2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Product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bookmarkStart w:id="163" w:name=".amt.25"/>
            <w:bookmarkStart w:id="164" w:name=".amt.26"/>
            <w:bookmarkEnd w:id="163"/>
            <w:bookmarkEnd w:id="164"/>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3,046</w:t>
            </w:r>
          </w:p>
        </w:tc>
        <w:tc>
          <w:tcPr>
            <w:tcW w:w="84"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bookmarkStart w:id="165" w:name=".amt.35"/>
            <w:bookmarkStart w:id="166" w:name=".amt.36"/>
            <w:bookmarkEnd w:id="165"/>
            <w:bookmarkEnd w:id="166"/>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7" w:name=".amt.45"/>
            <w:bookmarkStart w:id="168" w:name=".amt.46"/>
            <w:bookmarkEnd w:id="167"/>
            <w:bookmarkEnd w:id="168"/>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9" w:name=".amt.55"/>
            <w:bookmarkStart w:id="170" w:name=".amt.56"/>
            <w:bookmarkEnd w:id="169"/>
            <w:bookmarkEnd w:id="170"/>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4,983</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2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(including $168 to a related party for the three and six months ended 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bookmarkStart w:id="171" w:name=".amt.27"/>
            <w:bookmarkStart w:id="172" w:name=".amt.28"/>
            <w:bookmarkEnd w:id="171"/>
            <w:bookmarkEnd w:id="172"/>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9,427</w:t>
            </w:r>
          </w:p>
        </w:tc>
        <w:tc>
          <w:tcPr>
            <w:tcW w:w="84"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bookmarkStart w:id="173" w:name=".amt.37"/>
            <w:bookmarkStart w:id="174" w:name=".amt.38"/>
            <w:bookmarkEnd w:id="173"/>
            <w:bookmarkEnd w:id="174"/>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5" w:name=".amt.47"/>
            <w:bookmarkStart w:id="176" w:name=".amt.48"/>
            <w:bookmarkEnd w:id="175"/>
            <w:bookmarkEnd w:id="176"/>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14,615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7" w:name=".amt.57"/>
            <w:bookmarkStart w:id="178" w:name=".amt.58"/>
            <w:bookmarkEnd w:id="177"/>
            <w:bookmarkEnd w:id="178"/>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17,649</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2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bookmarkStart w:id="179" w:name=".amt.29"/>
            <w:bookmarkStart w:id="180" w:name=".amt.210"/>
            <w:bookmarkEnd w:id="179"/>
            <w:bookmarkEnd w:id="180"/>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1,710</w:t>
            </w:r>
          </w:p>
        </w:tc>
        <w:tc>
          <w:tcPr>
            <w:tcW w:w="84"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bookmarkStart w:id="181" w:name=".amt.39"/>
            <w:bookmarkStart w:id="182" w:name=".amt.310"/>
            <w:bookmarkEnd w:id="181"/>
            <w:bookmarkEnd w:id="182"/>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83" w:name=".amt.49"/>
            <w:bookmarkStart w:id="184" w:name=".amt.410"/>
            <w:bookmarkEnd w:id="183"/>
            <w:bookmarkEnd w:id="184"/>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85" w:name=".amt.59"/>
            <w:bookmarkStart w:id="186" w:name=".amt.510"/>
            <w:bookmarkEnd w:id="185"/>
            <w:bookmarkEnd w:id="186"/>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4,940</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2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disposal of assets</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7" w:name=".amt.211"/>
            <w:bookmarkStart w:id="188" w:name=".amt.212"/>
            <w:bookmarkEnd w:id="187"/>
            <w:bookmarkEnd w:id="188"/>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9" w:name=".amt.311"/>
            <w:bookmarkStart w:id="190" w:name=".amt.312"/>
            <w:bookmarkEnd w:id="189"/>
            <w:bookmarkEnd w:id="190"/>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1" w:name=".amt.411"/>
            <w:bookmarkStart w:id="192" w:name=".amt.412"/>
            <w:bookmarkEnd w:id="191"/>
            <w:bookmarkEnd w:id="192"/>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3" w:name=".amt.511"/>
            <w:bookmarkStart w:id="194" w:name=".amt.512"/>
            <w:bookmarkEnd w:id="193"/>
            <w:bookmarkEnd w:id="194"/>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2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costs and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5" w:name=".amt.213"/>
            <w:bookmarkStart w:id="196" w:name=".amt.214"/>
            <w:bookmarkEnd w:id="195"/>
            <w:bookmarkEnd w:id="196"/>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53,400</w:t>
            </w:r>
          </w:p>
        </w:tc>
        <w:tc>
          <w:tcPr>
            <w:tcW w:w="84"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7" w:name=".amt.313"/>
            <w:bookmarkStart w:id="198" w:name=".amt.314"/>
            <w:bookmarkEnd w:id="197"/>
            <w:bookmarkEnd w:id="198"/>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51,812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9" w:name=".amt.413"/>
            <w:bookmarkStart w:id="200" w:name=".amt.414"/>
            <w:bookmarkEnd w:id="199"/>
            <w:bookmarkEnd w:id="200"/>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102,161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01" w:name=".amt.513"/>
            <w:bookmarkStart w:id="202" w:name=".amt.514"/>
            <w:bookmarkEnd w:id="201"/>
            <w:bookmarkEnd w:id="202"/>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114,098</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2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from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bookmarkStart w:id="203" w:name=".amt.215"/>
            <w:bookmarkStart w:id="204" w:name=".amt.216"/>
            <w:bookmarkEnd w:id="203"/>
            <w:bookmarkEnd w:id="204"/>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(4,951</w:t>
            </w:r>
            <w:bookmarkStart w:id="205" w:name=".trail.2"/>
            <w:bookmarkEnd w:id="205"/>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bookmarkStart w:id="206" w:name=".amt.315"/>
            <w:bookmarkStart w:id="207" w:name=".amt.316"/>
            <w:bookmarkEnd w:id="206"/>
            <w:bookmarkEnd w:id="207"/>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(7,106</w:t>
            </w:r>
            <w:bookmarkStart w:id="208" w:name=".trail.3"/>
            <w:bookmarkEnd w:id="208"/>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09" w:name=".amt.415"/>
            <w:bookmarkStart w:id="210" w:name=".amt.416"/>
            <w:bookmarkEnd w:id="209"/>
            <w:bookmarkEnd w:id="210"/>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(8,860</w:t>
            </w:r>
            <w:bookmarkStart w:id="211" w:name=".trail.4"/>
            <w:bookmarkEnd w:id="211"/>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12" w:name=".amt.515"/>
            <w:bookmarkStart w:id="213" w:name=".amt.516"/>
            <w:bookmarkEnd w:id="212"/>
            <w:bookmarkEnd w:id="213"/>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(14,182</w:t>
            </w:r>
            <w:bookmarkStart w:id="214" w:name=".trail.5"/>
            <w:bookmarkEnd w:id="214"/>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bookmarkStart w:id="215" w:name=".amt.217"/>
            <w:bookmarkStart w:id="216" w:name=".amt.218"/>
            <w:bookmarkEnd w:id="215"/>
            <w:bookmarkEnd w:id="216"/>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w:t>
            </w:r>
            <w:bookmarkStart w:id="217" w:name=".trail.21"/>
            <w:bookmarkStart w:id="218" w:name=".trail.22"/>
            <w:bookmarkEnd w:id="217"/>
            <w:bookmarkEnd w:id="218"/>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bookmarkStart w:id="219" w:name=".amt.317"/>
            <w:bookmarkStart w:id="220" w:name=".amt.318"/>
            <w:bookmarkEnd w:id="219"/>
            <w:bookmarkEnd w:id="220"/>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w:t>
            </w:r>
            <w:bookmarkStart w:id="221" w:name=".trail.31"/>
            <w:bookmarkStart w:id="222" w:name=".trail.32"/>
            <w:bookmarkEnd w:id="221"/>
            <w:bookmarkEnd w:id="22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23" w:name=".amt.417"/>
            <w:bookmarkStart w:id="224" w:name=".amt.418"/>
            <w:bookmarkEnd w:id="223"/>
            <w:bookmarkEnd w:id="224"/>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(1,242</w:t>
            </w:r>
            <w:bookmarkStart w:id="225" w:name=".trail.41"/>
            <w:bookmarkStart w:id="226" w:name=".trail.42"/>
            <w:bookmarkEnd w:id="225"/>
            <w:bookmarkEnd w:id="22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27" w:name=".amt.517"/>
            <w:bookmarkStart w:id="228" w:name=".amt.518"/>
            <w:bookmarkEnd w:id="227"/>
            <w:bookmarkEnd w:id="228"/>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(1,582</w:t>
            </w:r>
            <w:bookmarkStart w:id="229" w:name=".trail.51"/>
            <w:bookmarkStart w:id="230" w:name=".trail.52"/>
            <w:bookmarkEnd w:id="229"/>
            <w:bookmarkEnd w:id="230"/>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of Convertible Notes with related parties</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31" w:name=".amt.219"/>
            <w:bookmarkStart w:id="232" w:name=".amt.220"/>
            <w:bookmarkEnd w:id="231"/>
            <w:bookmarkEnd w:id="232"/>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w:t>
            </w:r>
          </w:p>
        </w:tc>
        <w:tc>
          <w:tcPr>
            <w:tcW w:w="84"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33" w:name=".amt.319"/>
            <w:bookmarkStart w:id="234" w:name=".amt.320"/>
            <w:bookmarkEnd w:id="233"/>
            <w:bookmarkEnd w:id="234"/>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35" w:name=".amt.419"/>
            <w:bookmarkStart w:id="236" w:name=".amt.420"/>
            <w:bookmarkEnd w:id="235"/>
            <w:bookmarkEnd w:id="236"/>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(1,421</w:t>
            </w:r>
            <w:bookmarkStart w:id="237" w:name=".trail.43"/>
            <w:bookmarkStart w:id="238" w:name=".trail.44"/>
            <w:bookmarkEnd w:id="237"/>
            <w:bookmarkEnd w:id="238"/>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39" w:name=".amt.519"/>
            <w:bookmarkStart w:id="240" w:name=".amt.520"/>
            <w:bookmarkEnd w:id="239"/>
            <w:bookmarkEnd w:id="240"/>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2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bookmarkStart w:id="241" w:name=".amt.221"/>
            <w:bookmarkStart w:id="242" w:name=".amt.222"/>
            <w:bookmarkEnd w:id="241"/>
            <w:bookmarkEnd w:id="242"/>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(6,172</w:t>
            </w:r>
            <w:bookmarkStart w:id="243" w:name=".trail.23"/>
            <w:bookmarkStart w:id="244" w:name=".trail.24"/>
            <w:bookmarkEnd w:id="243"/>
            <w:bookmarkEnd w:id="244"/>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bookmarkStart w:id="245" w:name=".amt.321"/>
            <w:bookmarkStart w:id="246" w:name=".amt.322"/>
            <w:bookmarkEnd w:id="245"/>
            <w:bookmarkEnd w:id="246"/>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(7,330</w:t>
            </w:r>
            <w:bookmarkStart w:id="247" w:name=".trail.33"/>
            <w:bookmarkStart w:id="248" w:name=".trail.34"/>
            <w:bookmarkEnd w:id="247"/>
            <w:bookmarkEnd w:id="24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9" w:name=".amt.421"/>
            <w:bookmarkStart w:id="250" w:name=".amt.422"/>
            <w:bookmarkEnd w:id="249"/>
            <w:bookmarkEnd w:id="250"/>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(11,523</w:t>
            </w:r>
            <w:bookmarkStart w:id="251" w:name=".trail.45"/>
            <w:bookmarkStart w:id="252" w:name=".trail.46"/>
            <w:bookmarkEnd w:id="251"/>
            <w:bookmarkEnd w:id="25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53" w:name=".amt.521"/>
            <w:bookmarkStart w:id="254" w:name=".amt.522"/>
            <w:bookmarkEnd w:id="253"/>
            <w:bookmarkEnd w:id="254"/>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(15,366</w:t>
            </w:r>
            <w:bookmarkStart w:id="255" w:name=".trail.53"/>
            <w:bookmarkStart w:id="256" w:name=".trail.54"/>
            <w:bookmarkEnd w:id="255"/>
            <w:bookmarkEnd w:id="256"/>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benefit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7" w:name=".amt.223"/>
            <w:bookmarkStart w:id="258" w:name=".amt.224"/>
            <w:bookmarkEnd w:id="257"/>
            <w:bookmarkEnd w:id="258"/>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4"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9" w:name=".amt.323"/>
            <w:bookmarkStart w:id="260" w:name=".amt.324"/>
            <w:bookmarkEnd w:id="259"/>
            <w:bookmarkEnd w:id="260"/>
          </w:p>
        </w:tc>
        <w:tc>
          <w:tcPr>
            <w:tcW w:w="10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1" w:name=".amt.423"/>
            <w:bookmarkStart w:id="262" w:name=".amt.424"/>
            <w:bookmarkEnd w:id="261"/>
            <w:bookmarkEnd w:id="262"/>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bookmarkStart w:id="263" w:name=".trail.47"/>
            <w:bookmarkStart w:id="264" w:name=".trail.48"/>
            <w:bookmarkEnd w:id="263"/>
            <w:bookmarkEnd w:id="26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5" w:name=".amt.523"/>
            <w:bookmarkStart w:id="266" w:name=".amt.524"/>
            <w:bookmarkEnd w:id="265"/>
            <w:bookmarkEnd w:id="266"/>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w:t>
            </w:r>
            <w:bookmarkStart w:id="267" w:name=".trail.55"/>
            <w:bookmarkStart w:id="268" w:name=".trail.56"/>
            <w:bookmarkEnd w:id="267"/>
            <w:bookmarkEnd w:id="268"/>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bookmarkStart w:id="269" w:name=".symb.21"/>
            <w:bookmarkStart w:id="270" w:name=".symb.22"/>
            <w:bookmarkEnd w:id="269"/>
            <w:bookmarkEnd w:id="270"/>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1" w:name=".amt.225"/>
            <w:bookmarkStart w:id="272" w:name=".amt.226"/>
            <w:bookmarkEnd w:id="271"/>
            <w:bookmarkEnd w:id="272"/>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(6,177</w:t>
            </w:r>
            <w:bookmarkStart w:id="273" w:name=".trail.25"/>
            <w:bookmarkStart w:id="274" w:name=".trail.26"/>
            <w:bookmarkEnd w:id="273"/>
            <w:bookmarkEnd w:id="274"/>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0"/>
              <w:ind w:left="0" w:right="0" w:hanging="0"/>
              <w:jc w:val="left"/>
              <w:rPr/>
            </w:pPr>
            <w:r>
              <w:rPr/>
              <w:t> </w:t>
            </w:r>
            <w:bookmarkStart w:id="275" w:name=".symb.31"/>
            <w:bookmarkStart w:id="276" w:name=".symb.32"/>
            <w:bookmarkEnd w:id="275"/>
            <w:bookmarkEnd w:id="276"/>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7" w:name=".amt.325"/>
            <w:bookmarkStart w:id="278" w:name=".amt.326"/>
            <w:bookmarkEnd w:id="277"/>
            <w:bookmarkEnd w:id="278"/>
          </w:p>
        </w:tc>
        <w:tc>
          <w:tcPr>
            <w:tcW w:w="10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(7,223</w:t>
            </w:r>
            <w:bookmarkStart w:id="279" w:name=".trail.35"/>
            <w:bookmarkStart w:id="280" w:name=".trail.36"/>
            <w:bookmarkEnd w:id="279"/>
            <w:bookmarkEnd w:id="28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81" w:name=".symb.41"/>
            <w:bookmarkStart w:id="282" w:name=".symb.42"/>
            <w:bookmarkEnd w:id="281"/>
            <w:bookmarkEnd w:id="28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3" w:name=".amt.425"/>
            <w:bookmarkStart w:id="284" w:name=".amt.426"/>
            <w:bookmarkEnd w:id="283"/>
            <w:bookmarkEnd w:id="284"/>
          </w:p>
        </w:tc>
        <w:tc>
          <w:tcPr>
            <w:tcW w:w="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(11,531</w:t>
            </w:r>
            <w:bookmarkStart w:id="285" w:name=".trail.49"/>
            <w:bookmarkStart w:id="286" w:name=".trail.410"/>
            <w:bookmarkEnd w:id="285"/>
            <w:bookmarkEnd w:id="28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87" w:name=".symb.51"/>
            <w:bookmarkStart w:id="288" w:name=".symb.52"/>
            <w:bookmarkEnd w:id="287"/>
            <w:bookmarkEnd w:id="28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9" w:name=".amt.525"/>
            <w:bookmarkStart w:id="290" w:name=".amt.526"/>
            <w:bookmarkEnd w:id="289"/>
            <w:bookmarkEnd w:id="290"/>
          </w:p>
        </w:tc>
        <w:tc>
          <w:tcPr>
            <w:tcW w:w="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(15,492</w:t>
            </w:r>
            <w:bookmarkStart w:id="291" w:name=".trail.57"/>
            <w:bookmarkStart w:id="292" w:name=".trail.58"/>
            <w:bookmarkEnd w:id="291"/>
            <w:bookmarkEnd w:id="292"/>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2"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2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Basic and diluted loss per share:</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2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0"/>
              <w:ind w:left="0" w:right="0" w:hanging="0"/>
              <w:jc w:val="left"/>
              <w:rPr/>
            </w:pPr>
            <w:r>
              <w:rPr/>
              <w:t> </w:t>
            </w:r>
            <w:bookmarkStart w:id="293" w:name=".symb.23"/>
            <w:bookmarkStart w:id="294" w:name=".symb.24"/>
            <w:bookmarkEnd w:id="293"/>
            <w:bookmarkEnd w:id="294"/>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5" w:name=".amt.227"/>
            <w:bookmarkStart w:id="296" w:name=".amt.228"/>
            <w:bookmarkEnd w:id="295"/>
            <w:bookmarkEnd w:id="296"/>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(0.20</w:t>
            </w:r>
            <w:bookmarkStart w:id="297" w:name=".trail.27"/>
            <w:bookmarkStart w:id="298" w:name=".trail.28"/>
            <w:bookmarkEnd w:id="297"/>
            <w:bookmarkEnd w:id="298"/>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0"/>
              <w:ind w:left="0" w:right="0" w:hanging="0"/>
              <w:jc w:val="left"/>
              <w:rPr/>
            </w:pPr>
            <w:r>
              <w:rPr/>
              <w:t> </w:t>
            </w:r>
            <w:bookmarkStart w:id="299" w:name=".symb.33"/>
            <w:bookmarkStart w:id="300" w:name=".symb.34"/>
            <w:bookmarkEnd w:id="299"/>
            <w:bookmarkEnd w:id="300"/>
          </w:p>
        </w:tc>
        <w:tc>
          <w:tcPr>
            <w:tcW w:w="1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1" w:name=".amt.327"/>
            <w:bookmarkStart w:id="302" w:name=".amt.328"/>
            <w:bookmarkEnd w:id="301"/>
            <w:bookmarkEnd w:id="302"/>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(0.30</w:t>
            </w:r>
            <w:bookmarkStart w:id="303" w:name=".trail.37"/>
            <w:bookmarkStart w:id="304" w:name=".trail.38"/>
            <w:bookmarkEnd w:id="303"/>
            <w:bookmarkEnd w:id="30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bookmarkStart w:id="305" w:name=".symb.43"/>
            <w:bookmarkStart w:id="306" w:name=".symb.44"/>
            <w:bookmarkEnd w:id="305"/>
            <w:bookmarkEnd w:id="306"/>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7" w:name=".amt.427"/>
            <w:bookmarkStart w:id="308" w:name=".amt.428"/>
            <w:bookmarkEnd w:id="307"/>
            <w:bookmarkEnd w:id="308"/>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(0.37</w:t>
            </w:r>
            <w:bookmarkStart w:id="309" w:name=".trail.411"/>
            <w:bookmarkStart w:id="310" w:name=".trail.412"/>
            <w:bookmarkEnd w:id="309"/>
            <w:bookmarkEnd w:id="310"/>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bookmarkStart w:id="311" w:name=".symb.53"/>
            <w:bookmarkStart w:id="312" w:name=".symb.54"/>
            <w:bookmarkEnd w:id="311"/>
            <w:bookmarkEnd w:id="312"/>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13" w:name=".amt.527"/>
            <w:bookmarkStart w:id="314" w:name=".amt.528"/>
            <w:bookmarkEnd w:id="313"/>
            <w:bookmarkEnd w:id="314"/>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(0.68</w:t>
            </w:r>
            <w:bookmarkStart w:id="315" w:name=".trail.59"/>
            <w:bookmarkStart w:id="316" w:name=".trail.510"/>
            <w:bookmarkEnd w:id="315"/>
            <w:bookmarkEnd w:id="316"/>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0"/>
              <w:ind w:left="0" w:right="0" w:hanging="0"/>
              <w:jc w:val="left"/>
              <w:rPr/>
            </w:pPr>
            <w:r>
              <w:rPr/>
              <w:t> </w:t>
            </w:r>
            <w:bookmarkStart w:id="317" w:name=".symb.25"/>
            <w:bookmarkStart w:id="318" w:name=".symb.26"/>
            <w:bookmarkEnd w:id="317"/>
            <w:bookmarkEnd w:id="318"/>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19" w:name=".amt.229"/>
            <w:bookmarkStart w:id="320" w:name=".amt.230"/>
            <w:bookmarkEnd w:id="319"/>
            <w:bookmarkEnd w:id="320"/>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(0.20</w:t>
            </w:r>
            <w:bookmarkStart w:id="321" w:name=".trail.29"/>
            <w:bookmarkStart w:id="322" w:name=".trail.210"/>
            <w:bookmarkEnd w:id="321"/>
            <w:bookmarkEnd w:id="322"/>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0"/>
              <w:ind w:left="0" w:right="0" w:hanging="0"/>
              <w:jc w:val="left"/>
              <w:rPr/>
            </w:pPr>
            <w:r>
              <w:rPr/>
              <w:t> </w:t>
            </w:r>
            <w:bookmarkStart w:id="323" w:name=".symb.35"/>
            <w:bookmarkStart w:id="324" w:name=".symb.36"/>
            <w:bookmarkEnd w:id="323"/>
            <w:bookmarkEnd w:id="324"/>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25" w:name=".amt.329"/>
            <w:bookmarkStart w:id="326" w:name=".amt.330"/>
            <w:bookmarkEnd w:id="325"/>
            <w:bookmarkEnd w:id="326"/>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(0.30</w:t>
            </w:r>
            <w:bookmarkStart w:id="327" w:name=".trail.39"/>
            <w:bookmarkStart w:id="328" w:name=".trail.310"/>
            <w:bookmarkEnd w:id="327"/>
            <w:bookmarkEnd w:id="32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329" w:name=".symb.45"/>
            <w:bookmarkStart w:id="330" w:name=".symb.46"/>
            <w:bookmarkEnd w:id="329"/>
            <w:bookmarkEnd w:id="330"/>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31" w:name=".amt.429"/>
            <w:bookmarkStart w:id="332" w:name=".amt.430"/>
            <w:bookmarkEnd w:id="331"/>
            <w:bookmarkEnd w:id="332"/>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(0.37</w:t>
            </w:r>
            <w:bookmarkStart w:id="333" w:name=".trail.413"/>
            <w:bookmarkStart w:id="334" w:name=".trail.414"/>
            <w:bookmarkEnd w:id="333"/>
            <w:bookmarkEnd w:id="33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335" w:name=".symb.55"/>
            <w:bookmarkStart w:id="336" w:name=".symb.56"/>
            <w:bookmarkEnd w:id="335"/>
            <w:bookmarkEnd w:id="336"/>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37" w:name=".amt.529"/>
            <w:bookmarkStart w:id="338" w:name=".amt.530"/>
            <w:bookmarkEnd w:id="337"/>
            <w:bookmarkEnd w:id="338"/>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(0.68</w:t>
            </w:r>
            <w:bookmarkStart w:id="339" w:name=".trail.511"/>
            <w:bookmarkStart w:id="340" w:name=".trail.512"/>
            <w:bookmarkEnd w:id="339"/>
            <w:bookmarkEnd w:id="340"/>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2"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2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 average number of shares outstanding:</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100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2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bookmarkStart w:id="341" w:name=".amt.231"/>
            <w:bookmarkStart w:id="342" w:name=".amt.232"/>
            <w:bookmarkEnd w:id="341"/>
            <w:bookmarkEnd w:id="342"/>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31,544,934</w:t>
            </w:r>
          </w:p>
        </w:tc>
        <w:tc>
          <w:tcPr>
            <w:tcW w:w="84"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bookmarkStart w:id="343" w:name=".amt.331"/>
            <w:bookmarkStart w:id="344" w:name=".amt.332"/>
            <w:bookmarkEnd w:id="343"/>
            <w:bookmarkEnd w:id="344"/>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24,061,803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45" w:name=".amt.431"/>
            <w:bookmarkStart w:id="346" w:name=".amt.432"/>
            <w:bookmarkEnd w:id="345"/>
            <w:bookmarkEnd w:id="346"/>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31,464,810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347" w:name=".amt.531"/>
            <w:bookmarkStart w:id="348" w:name=".amt.532"/>
            <w:bookmarkEnd w:id="347"/>
            <w:bookmarkEnd w:id="348"/>
          </w:p>
        </w:tc>
        <w:tc>
          <w:tcPr>
            <w:tcW w:w="9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22,661,951</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2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bookmarkStart w:id="349" w:name=".amt.233"/>
            <w:bookmarkStart w:id="350" w:name=".amt.234"/>
            <w:bookmarkEnd w:id="349"/>
            <w:bookmarkEnd w:id="350"/>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31,544,934</w:t>
            </w:r>
          </w:p>
        </w:tc>
        <w:tc>
          <w:tcPr>
            <w:tcW w:w="84"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bookmarkStart w:id="351" w:name=".amt.333"/>
            <w:bookmarkStart w:id="352" w:name=".amt.334"/>
            <w:bookmarkEnd w:id="351"/>
            <w:bookmarkEnd w:id="352"/>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24,061,803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53" w:name=".amt.433"/>
            <w:bookmarkStart w:id="354" w:name=".amt.434"/>
            <w:bookmarkEnd w:id="353"/>
            <w:bookmarkEnd w:id="354"/>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31,464,810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355" w:name=".amt.533"/>
            <w:bookmarkStart w:id="356" w:name=".amt.534"/>
            <w:bookmarkEnd w:id="355"/>
            <w:bookmarkEnd w:id="356"/>
          </w:p>
        </w:tc>
        <w:tc>
          <w:tcPr>
            <w:tcW w:w="9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22,661,951</w:t>
            </w:r>
          </w:p>
        </w:tc>
        <w:tc>
          <w:tcPr>
            <w:tcW w:w="83"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144" w:right="144"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b/>
          <w:sz w:val="20"/>
        </w:rPr>
        <w:t>FLUENT, INC.</w:t>
      </w:r>
      <w:r>
        <w:rPr>
          <w:rFonts w:ascii="Times New Roman;Times;serif" w:hAnsi="Times New Roman;Times;serif"/>
          <w:sz w:val="20"/>
        </w:rPr>
        <w:t xml:space="preserve">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b/>
          <w:sz w:val="20"/>
        </w:rPr>
        <w:t>CONSOLIDATED STATEMENTS OF CASH FLOWS</w:t>
      </w:r>
      <w:r>
        <w:rPr>
          <w:rFonts w:ascii="Times New Roman;Times;serif" w:hAnsi="Times New Roman;Times;serif"/>
          <w:sz w:val="20"/>
        </w:rPr>
        <w:t xml:space="preserve">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b/>
          <w:sz w:val="20"/>
        </w:rPr>
        <w:t>(Amounts in thousands)</w:t>
      </w:r>
      <w:r>
        <w:rPr>
          <w:rFonts w:ascii="Times New Roman;Times;serif" w:hAnsi="Times New Roman;Times;serif"/>
          <w:sz w:val="20"/>
        </w:rPr>
        <w:t xml:space="preserve">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sz w:val="20"/>
        </w:rPr>
        <w:t xml:space="preserve"> </w:t>
      </w:r>
    </w:p>
    <w:p>
      <w:pPr>
        <w:pStyle w:val="TextBody"/>
        <w:bidi w:val="0"/>
        <w:spacing w:before="0" w:after="0"/>
        <w:ind w:left="144" w:right="144" w:hanging="0"/>
        <w:jc w:val="left"/>
        <w:rPr/>
      </w:pPr>
      <w:r>
        <w:rPr/>
        <w:t> </w:t>
      </w:r>
    </w:p>
    <w:tbl>
      <w:tblPr>
        <w:tblW w:w="8922" w:type="dxa"/>
        <w:jc w:val="left"/>
        <w:tblInd w:w="0" w:type="dxa"/>
        <w:tblLayout w:type="fixed"/>
        <w:tblCellMar>
          <w:top w:w="0" w:type="dxa"/>
          <w:left w:w="0" w:type="dxa"/>
          <w:bottom w:w="0" w:type="dxa"/>
          <w:right w:w="0" w:type="dxa"/>
        </w:tblCellMar>
      </w:tblPr>
      <w:tblGrid>
        <w:gridCol w:w="6485"/>
        <w:gridCol w:w="60"/>
        <w:gridCol w:w="160"/>
        <w:gridCol w:w="967"/>
        <w:gridCol w:w="102"/>
        <w:gridCol w:w="76"/>
        <w:gridCol w:w="160"/>
        <w:gridCol w:w="832"/>
        <w:gridCol w:w="80"/>
      </w:tblGrid>
      <w:tr>
        <w:trPr/>
        <w:tc>
          <w:tcPr>
            <w:tcW w:w="64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57" w:name=".amt.D33"/>
            <w:bookmarkStart w:id="358" w:name=".amt.D34"/>
            <w:bookmarkEnd w:id="357"/>
            <w:bookmarkEnd w:id="358"/>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59" w:name=".amt.D21"/>
            <w:bookmarkStart w:id="360" w:name=".amt.D22"/>
            <w:bookmarkEnd w:id="359"/>
            <w:bookmarkEnd w:id="360"/>
          </w:p>
        </w:tc>
        <w:tc>
          <w:tcPr>
            <w:tcW w:w="11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bookmarkStart w:id="361" w:name=".amt.D35"/>
            <w:bookmarkStart w:id="362" w:name=".amt.D36"/>
            <w:bookmarkEnd w:id="361"/>
            <w:bookmarkEnd w:id="362"/>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FFFFFF" w:val="clear"/>
            <w:vAlign w:val="center"/>
          </w:tcPr>
          <w:p>
            <w:pPr>
              <w:pStyle w:val="TableContents"/>
              <w:bidi w:val="0"/>
              <w:spacing w:before="0" w:after="0"/>
              <w:ind w:left="0" w:right="0" w:hanging="0"/>
              <w:jc w:val="left"/>
              <w:rPr/>
            </w:pPr>
            <w:r>
              <w:rPr/>
              <w:t> </w:t>
            </w:r>
            <w:bookmarkStart w:id="363" w:name=".symb.27"/>
            <w:bookmarkStart w:id="364" w:name=".symb.28"/>
            <w:bookmarkEnd w:id="363"/>
            <w:bookmarkEnd w:id="364"/>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65" w:name=".amt.235"/>
            <w:bookmarkStart w:id="366" w:name=".amt.236"/>
            <w:bookmarkEnd w:id="365"/>
            <w:bookmarkEnd w:id="366"/>
          </w:p>
        </w:tc>
        <w:tc>
          <w:tcPr>
            <w:tcW w:w="9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(11,531</w:t>
            </w:r>
            <w:bookmarkStart w:id="367" w:name=".trail.211"/>
            <w:bookmarkStart w:id="368" w:name=".trail.212"/>
            <w:bookmarkEnd w:id="367"/>
            <w:bookmarkEnd w:id="368"/>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0"/>
              <w:ind w:left="0" w:right="0" w:hanging="0"/>
              <w:jc w:val="left"/>
              <w:rPr/>
            </w:pPr>
            <w:r>
              <w:rPr/>
              <w:t> </w:t>
            </w:r>
            <w:bookmarkStart w:id="369" w:name=".symb.37"/>
            <w:bookmarkStart w:id="370" w:name=".symb.38"/>
            <w:bookmarkEnd w:id="369"/>
            <w:bookmarkEnd w:id="370"/>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71" w:name=".amt.335"/>
            <w:bookmarkStart w:id="372" w:name=".amt.336"/>
            <w:bookmarkEnd w:id="371"/>
            <w:bookmarkEnd w:id="372"/>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(15,492</w:t>
            </w:r>
            <w:bookmarkStart w:id="373" w:name=".trail.311"/>
            <w:bookmarkStart w:id="374" w:name=".trail.312"/>
            <w:bookmarkEnd w:id="373"/>
            <w:bookmarkEnd w:id="37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Adjustments to reconcile net loss to net cash provided by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375" w:name=".amt.237"/>
            <w:bookmarkStart w:id="376" w:name=".amt.238"/>
            <w:bookmarkEnd w:id="375"/>
            <w:bookmarkEnd w:id="376"/>
          </w:p>
        </w:tc>
        <w:tc>
          <w:tcPr>
            <w:tcW w:w="9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3,391</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377" w:name=".amt.337"/>
            <w:bookmarkStart w:id="378" w:name=".amt.338"/>
            <w:bookmarkEnd w:id="377"/>
            <w:bookmarkEnd w:id="378"/>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Non-cash loan amortization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379" w:name=".amt.239"/>
            <w:bookmarkStart w:id="380" w:name=".amt.240"/>
            <w:bookmarkEnd w:id="379"/>
            <w:bookmarkEnd w:id="380"/>
          </w:p>
        </w:tc>
        <w:tc>
          <w:tcPr>
            <w:tcW w:w="9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381" w:name=".amt.339"/>
            <w:bookmarkStart w:id="382" w:name=".amt.340"/>
            <w:bookmarkEnd w:id="381"/>
            <w:bookmarkEnd w:id="382"/>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Non-cash gain on divestiture</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383" w:name=".amt.241"/>
            <w:bookmarkStart w:id="384" w:name=".amt.242"/>
            <w:bookmarkEnd w:id="383"/>
            <w:bookmarkEnd w:id="384"/>
          </w:p>
        </w:tc>
        <w:tc>
          <w:tcPr>
            <w:tcW w:w="9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(2,352</w:t>
            </w:r>
            <w:bookmarkStart w:id="385" w:name=".trail.213"/>
            <w:bookmarkStart w:id="386" w:name=".trail.214"/>
            <w:bookmarkEnd w:id="385"/>
            <w:bookmarkEnd w:id="386"/>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387" w:name=".amt.341"/>
            <w:bookmarkStart w:id="388" w:name=".amt.342"/>
            <w:bookmarkEnd w:id="387"/>
            <w:bookmarkEnd w:id="388"/>
          </w:p>
        </w:tc>
        <w:tc>
          <w:tcPr>
            <w:tcW w:w="83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389" w:name=".amt.243"/>
            <w:bookmarkStart w:id="390" w:name=".amt.244"/>
            <w:bookmarkEnd w:id="389"/>
            <w:bookmarkEnd w:id="390"/>
          </w:p>
        </w:tc>
        <w:tc>
          <w:tcPr>
            <w:tcW w:w="9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2,792</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391" w:name=".amt.343"/>
            <w:bookmarkStart w:id="392" w:name=".amt.344"/>
            <w:bookmarkEnd w:id="391"/>
            <w:bookmarkEnd w:id="392"/>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Fair value adjustment of Convertible Notes with related parties</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393" w:name=".amt.245"/>
            <w:bookmarkStart w:id="394" w:name=".amt.246"/>
            <w:bookmarkEnd w:id="393"/>
            <w:bookmarkEnd w:id="394"/>
          </w:p>
        </w:tc>
        <w:tc>
          <w:tcPr>
            <w:tcW w:w="9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1,421</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395" w:name=".amt.345"/>
            <w:bookmarkStart w:id="396" w:name=".amt.346"/>
            <w:bookmarkEnd w:id="395"/>
            <w:bookmarkEnd w:id="396"/>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Loss on disposal of asset</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397" w:name=".amt.247"/>
            <w:bookmarkStart w:id="398" w:name=".amt.248"/>
            <w:bookmarkEnd w:id="397"/>
            <w:bookmarkEnd w:id="398"/>
          </w:p>
        </w:tc>
        <w:tc>
          <w:tcPr>
            <w:tcW w:w="96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399" w:name=".amt.347"/>
            <w:bookmarkStart w:id="400" w:name=".amt.348"/>
            <w:bookmarkEnd w:id="399"/>
            <w:bookmarkEnd w:id="400"/>
          </w:p>
        </w:tc>
        <w:tc>
          <w:tcPr>
            <w:tcW w:w="83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Non-cash loss on asset write-off</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01" w:name=".amt.249"/>
            <w:bookmarkStart w:id="402" w:name=".amt.250"/>
            <w:bookmarkEnd w:id="401"/>
            <w:bookmarkEnd w:id="402"/>
          </w:p>
        </w:tc>
        <w:tc>
          <w:tcPr>
            <w:tcW w:w="967"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03" w:name=".amt.349"/>
            <w:bookmarkStart w:id="404" w:name=".amt.350"/>
            <w:bookmarkEnd w:id="403"/>
            <w:bookmarkEnd w:id="404"/>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Allowance for credit losses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05" w:name=".amt.251"/>
            <w:bookmarkStart w:id="406" w:name=".amt.252"/>
            <w:bookmarkEnd w:id="405"/>
            <w:bookmarkEnd w:id="406"/>
          </w:p>
        </w:tc>
        <w:tc>
          <w:tcPr>
            <w:tcW w:w="9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07" w:name=".amt.351"/>
            <w:bookmarkStart w:id="408" w:name=".amt.352"/>
            <w:bookmarkEnd w:id="407"/>
            <w:bookmarkEnd w:id="408"/>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assets and liabilities, net of business acquisitions:</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967"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83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09" w:name=".amt.253"/>
            <w:bookmarkStart w:id="410" w:name=".amt.254"/>
            <w:bookmarkEnd w:id="409"/>
            <w:bookmarkEnd w:id="410"/>
          </w:p>
        </w:tc>
        <w:tc>
          <w:tcPr>
            <w:tcW w:w="9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7,286</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11" w:name=".amt.353"/>
            <w:bookmarkStart w:id="412" w:name=".amt.354"/>
            <w:bookmarkEnd w:id="411"/>
            <w:bookmarkEnd w:id="412"/>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15,287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13" w:name=".amt.255"/>
            <w:bookmarkStart w:id="414" w:name=".amt.256"/>
            <w:bookmarkEnd w:id="413"/>
            <w:bookmarkEnd w:id="414"/>
          </w:p>
        </w:tc>
        <w:tc>
          <w:tcPr>
            <w:tcW w:w="9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1,142</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15" w:name=".amt.355"/>
            <w:bookmarkStart w:id="416" w:name=".amt.356"/>
            <w:bookmarkEnd w:id="415"/>
            <w:bookmarkEnd w:id="416"/>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non-current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17" w:name=".amt.257"/>
            <w:bookmarkStart w:id="418" w:name=".amt.258"/>
            <w:bookmarkEnd w:id="417"/>
            <w:bookmarkEnd w:id="418"/>
          </w:p>
        </w:tc>
        <w:tc>
          <w:tcPr>
            <w:tcW w:w="9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19" w:name=".amt.357"/>
            <w:bookmarkStart w:id="420" w:name=".amt.358"/>
            <w:bookmarkEnd w:id="419"/>
            <w:bookmarkEnd w:id="420"/>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assets and liabilities, net</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21" w:name=".amt.259"/>
            <w:bookmarkStart w:id="422" w:name=".amt.260"/>
            <w:bookmarkEnd w:id="421"/>
            <w:bookmarkEnd w:id="422"/>
          </w:p>
        </w:tc>
        <w:tc>
          <w:tcPr>
            <w:tcW w:w="9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bookmarkStart w:id="423" w:name=".trail.215"/>
            <w:bookmarkStart w:id="424" w:name=".trail.216"/>
            <w:bookmarkEnd w:id="423"/>
            <w:bookmarkEnd w:id="424"/>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25" w:name=".amt.359"/>
            <w:bookmarkStart w:id="426" w:name=".amt.360"/>
            <w:bookmarkEnd w:id="425"/>
            <w:bookmarkEnd w:id="426"/>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w:t>
            </w:r>
            <w:bookmarkStart w:id="427" w:name=".trail.313"/>
            <w:bookmarkStart w:id="428" w:name=".trail.314"/>
            <w:bookmarkEnd w:id="427"/>
            <w:bookmarkEnd w:id="428"/>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29" w:name=".amt.261"/>
            <w:bookmarkStart w:id="430" w:name=".amt.262"/>
            <w:bookmarkEnd w:id="429"/>
            <w:bookmarkEnd w:id="430"/>
          </w:p>
        </w:tc>
        <w:tc>
          <w:tcPr>
            <w:tcW w:w="9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1,029</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31" w:name=".amt.361"/>
            <w:bookmarkStart w:id="432" w:name=".amt.362"/>
            <w:bookmarkEnd w:id="431"/>
            <w:bookmarkEnd w:id="432"/>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bookmarkStart w:id="433" w:name=".trail.315"/>
            <w:bookmarkStart w:id="434" w:name=".trail.316"/>
            <w:bookmarkEnd w:id="433"/>
            <w:bookmarkEnd w:id="43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35" w:name=".amt.263"/>
            <w:bookmarkStart w:id="436" w:name=".amt.264"/>
            <w:bookmarkEnd w:id="435"/>
            <w:bookmarkEnd w:id="436"/>
          </w:p>
        </w:tc>
        <w:tc>
          <w:tcPr>
            <w:tcW w:w="9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(2,864</w:t>
            </w:r>
            <w:bookmarkStart w:id="437" w:name=".trail.217"/>
            <w:bookmarkStart w:id="438" w:name=".trail.218"/>
            <w:bookmarkEnd w:id="437"/>
            <w:bookmarkEnd w:id="438"/>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39" w:name=".amt.363"/>
            <w:bookmarkStart w:id="440" w:name=".amt.364"/>
            <w:bookmarkEnd w:id="439"/>
            <w:bookmarkEnd w:id="440"/>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(2,329</w:t>
            </w:r>
            <w:bookmarkStart w:id="441" w:name=".trail.317"/>
            <w:bookmarkStart w:id="442" w:name=".trail.318"/>
            <w:bookmarkEnd w:id="441"/>
            <w:bookmarkEnd w:id="442"/>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43" w:name=".amt.265"/>
            <w:bookmarkStart w:id="444" w:name=".amt.266"/>
            <w:bookmarkEnd w:id="443"/>
            <w:bookmarkEnd w:id="444"/>
          </w:p>
        </w:tc>
        <w:tc>
          <w:tcPr>
            <w:tcW w:w="9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(601</w:t>
            </w:r>
            <w:bookmarkStart w:id="445" w:name=".trail.219"/>
            <w:bookmarkStart w:id="446" w:name=".trail.220"/>
            <w:bookmarkEnd w:id="445"/>
            <w:bookmarkEnd w:id="446"/>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47" w:name=".amt.365"/>
            <w:bookmarkStart w:id="448" w:name=".amt.366"/>
            <w:bookmarkEnd w:id="447"/>
            <w:bookmarkEnd w:id="448"/>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w:t>
            </w:r>
            <w:bookmarkStart w:id="449" w:name=".trail.319"/>
            <w:bookmarkStart w:id="450" w:name=".trail.320"/>
            <w:bookmarkEnd w:id="449"/>
            <w:bookmarkEnd w:id="45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51" w:name=".amt.267"/>
            <w:bookmarkStart w:id="452" w:name=".amt.268"/>
            <w:bookmarkEnd w:id="451"/>
            <w:bookmarkEnd w:id="452"/>
          </w:p>
        </w:tc>
        <w:tc>
          <w:tcPr>
            <w:tcW w:w="9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53" w:name=".amt.367"/>
            <w:bookmarkStart w:id="454" w:name=".amt.368"/>
            <w:bookmarkEnd w:id="453"/>
            <w:bookmarkEnd w:id="454"/>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bookmarkStart w:id="455" w:name=".trail.321"/>
            <w:bookmarkStart w:id="456" w:name=".trail.322"/>
            <w:bookmarkEnd w:id="455"/>
            <w:bookmarkEnd w:id="45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8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Net cash provided by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bookmarkStart w:id="457" w:name=".amt.269"/>
            <w:bookmarkStart w:id="458" w:name=".amt.270"/>
            <w:bookmarkEnd w:id="457"/>
            <w:bookmarkEnd w:id="458"/>
          </w:p>
        </w:tc>
        <w:tc>
          <w:tcPr>
            <w:tcW w:w="96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bookmarkStart w:id="459" w:name=".amt.369"/>
            <w:bookmarkStart w:id="460" w:name=".amt.370"/>
            <w:bookmarkEnd w:id="459"/>
            <w:bookmarkEnd w:id="460"/>
          </w:p>
        </w:tc>
        <w:tc>
          <w:tcPr>
            <w:tcW w:w="83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967"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83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Capitalized costs included in intangible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61" w:name=".amt.271"/>
            <w:bookmarkStart w:id="462" w:name=".amt.272"/>
            <w:bookmarkEnd w:id="461"/>
            <w:bookmarkEnd w:id="462"/>
          </w:p>
        </w:tc>
        <w:tc>
          <w:tcPr>
            <w:tcW w:w="9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(3,203</w:t>
            </w:r>
            <w:bookmarkStart w:id="463" w:name=".trail.221"/>
            <w:bookmarkStart w:id="464" w:name=".trail.222"/>
            <w:bookmarkEnd w:id="463"/>
            <w:bookmarkEnd w:id="464"/>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65" w:name=".amt.371"/>
            <w:bookmarkStart w:id="466" w:name=".amt.372"/>
            <w:bookmarkEnd w:id="465"/>
            <w:bookmarkEnd w:id="466"/>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(3,200</w:t>
            </w:r>
            <w:bookmarkStart w:id="467" w:name=".trail.323"/>
            <w:bookmarkStart w:id="468" w:name=".trail.324"/>
            <w:bookmarkEnd w:id="467"/>
            <w:bookmarkEnd w:id="46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Proceeds from note receivable</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69" w:name=".amt.273"/>
            <w:bookmarkStart w:id="470" w:name=".amt.274"/>
            <w:bookmarkEnd w:id="469"/>
            <w:bookmarkEnd w:id="470"/>
          </w:p>
        </w:tc>
        <w:tc>
          <w:tcPr>
            <w:tcW w:w="9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282</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71" w:name=".amt.373"/>
            <w:bookmarkStart w:id="472" w:name=".amt.374"/>
            <w:bookmarkEnd w:id="471"/>
            <w:bookmarkEnd w:id="472"/>
          </w:p>
        </w:tc>
        <w:tc>
          <w:tcPr>
            <w:tcW w:w="83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Acquisition of property and equipment</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73" w:name=".amt.275"/>
            <w:bookmarkStart w:id="474" w:name=".amt.276"/>
            <w:bookmarkEnd w:id="473"/>
            <w:bookmarkEnd w:id="474"/>
          </w:p>
        </w:tc>
        <w:tc>
          <w:tcPr>
            <w:tcW w:w="96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w:t>
            </w:r>
            <w:bookmarkStart w:id="475" w:name=".trail.223"/>
            <w:bookmarkStart w:id="476" w:name=".trail.224"/>
            <w:bookmarkEnd w:id="475"/>
            <w:bookmarkEnd w:id="476"/>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77" w:name=".amt.375"/>
            <w:bookmarkStart w:id="478" w:name=".amt.376"/>
            <w:bookmarkEnd w:id="477"/>
            <w:bookmarkEnd w:id="478"/>
          </w:p>
        </w:tc>
        <w:tc>
          <w:tcPr>
            <w:tcW w:w="83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Net cash used in investing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9" w:name=".amt.277"/>
            <w:bookmarkStart w:id="480" w:name=".amt.278"/>
            <w:bookmarkEnd w:id="479"/>
            <w:bookmarkEnd w:id="480"/>
          </w:p>
        </w:tc>
        <w:tc>
          <w:tcPr>
            <w:tcW w:w="9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(3,009</w:t>
            </w:r>
            <w:bookmarkStart w:id="481" w:name=".trail.225"/>
            <w:bookmarkStart w:id="482" w:name=".trail.226"/>
            <w:bookmarkEnd w:id="481"/>
            <w:bookmarkEnd w:id="482"/>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3" w:name=".amt.377"/>
            <w:bookmarkStart w:id="484" w:name=".amt.378"/>
            <w:bookmarkEnd w:id="483"/>
            <w:bookmarkEnd w:id="484"/>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(3,231</w:t>
            </w:r>
            <w:bookmarkStart w:id="485" w:name=".trail.325"/>
            <w:bookmarkStart w:id="486" w:name=".trail.326"/>
            <w:bookmarkEnd w:id="485"/>
            <w:bookmarkEnd w:id="48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Proceeds from issuance of short and long-term debt</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87" w:name=".amt.279"/>
            <w:bookmarkStart w:id="488" w:name=".amt.280"/>
            <w:bookmarkEnd w:id="487"/>
            <w:bookmarkEnd w:id="488"/>
          </w:p>
        </w:tc>
        <w:tc>
          <w:tcPr>
            <w:tcW w:w="9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115,717</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89" w:name=".amt.379"/>
            <w:bookmarkStart w:id="490" w:name=".amt.380"/>
            <w:bookmarkEnd w:id="489"/>
            <w:bookmarkEnd w:id="490"/>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34,332</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Repayments of short and long-term debt</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91" w:name=".amt.281"/>
            <w:bookmarkStart w:id="492" w:name=".amt.282"/>
            <w:bookmarkEnd w:id="491"/>
            <w:bookmarkEnd w:id="492"/>
          </w:p>
        </w:tc>
        <w:tc>
          <w:tcPr>
            <w:tcW w:w="9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(119,086</w:t>
            </w:r>
            <w:bookmarkStart w:id="493" w:name=".trail.227"/>
            <w:bookmarkStart w:id="494" w:name=".trail.228"/>
            <w:bookmarkEnd w:id="493"/>
            <w:bookmarkEnd w:id="494"/>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495" w:name=".amt.381"/>
            <w:bookmarkStart w:id="496" w:name=".amt.382"/>
            <w:bookmarkEnd w:id="495"/>
            <w:bookmarkEnd w:id="496"/>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(46,377</w:t>
            </w:r>
            <w:bookmarkStart w:id="497" w:name=".trail.327"/>
            <w:bookmarkStart w:id="498" w:name=".trail.328"/>
            <w:bookmarkEnd w:id="497"/>
            <w:bookmarkEnd w:id="49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Debt financing costs</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499" w:name=".amt.283"/>
            <w:bookmarkStart w:id="500" w:name=".amt.284"/>
            <w:bookmarkEnd w:id="499"/>
            <w:bookmarkEnd w:id="500"/>
          </w:p>
        </w:tc>
        <w:tc>
          <w:tcPr>
            <w:tcW w:w="967"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bookmarkStart w:id="501" w:name=".amt.383"/>
            <w:bookmarkStart w:id="502" w:name=".amt.384"/>
            <w:bookmarkEnd w:id="501"/>
            <w:bookmarkEnd w:id="502"/>
          </w:p>
        </w:tc>
        <w:tc>
          <w:tcPr>
            <w:tcW w:w="8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(125</w:t>
            </w:r>
            <w:bookmarkStart w:id="503" w:name=".trail.329"/>
            <w:bookmarkStart w:id="504" w:name=".trail.330"/>
            <w:bookmarkEnd w:id="503"/>
            <w:bookmarkEnd w:id="50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8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Proceeds from issuance of pre-funded and common stock warrants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505" w:name=".amt.285"/>
            <w:bookmarkStart w:id="506" w:name=".amt.286"/>
            <w:bookmarkEnd w:id="505"/>
            <w:bookmarkEnd w:id="506"/>
          </w:p>
        </w:tc>
        <w:tc>
          <w:tcPr>
            <w:tcW w:w="967"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507" w:name=".amt.385"/>
            <w:bookmarkStart w:id="508" w:name=".amt.386"/>
            <w:bookmarkEnd w:id="507"/>
            <w:bookmarkEnd w:id="508"/>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8,972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485"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Net cash used in financing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09" w:name=".amt.287"/>
            <w:bookmarkStart w:id="510" w:name=".amt.288"/>
            <w:bookmarkEnd w:id="509"/>
            <w:bookmarkEnd w:id="510"/>
          </w:p>
        </w:tc>
        <w:tc>
          <w:tcPr>
            <w:tcW w:w="9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(3,369</w:t>
            </w:r>
            <w:bookmarkStart w:id="511" w:name=".trail.229"/>
            <w:bookmarkStart w:id="512" w:name=".trail.230"/>
            <w:bookmarkEnd w:id="511"/>
            <w:bookmarkEnd w:id="512"/>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13" w:name=".amt.387"/>
            <w:bookmarkStart w:id="514" w:name=".amt.388"/>
            <w:bookmarkEnd w:id="513"/>
            <w:bookmarkEnd w:id="514"/>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(3,198</w:t>
            </w:r>
            <w:bookmarkStart w:id="515" w:name=".trail.331"/>
            <w:bookmarkStart w:id="516" w:name=".trail.332"/>
            <w:bookmarkEnd w:id="515"/>
            <w:bookmarkEnd w:id="51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decrease in cash, cash equivalents, and restricted cash</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517" w:name=".amt.289"/>
            <w:bookmarkStart w:id="518" w:name=".amt.290"/>
            <w:bookmarkEnd w:id="517"/>
            <w:bookmarkEnd w:id="518"/>
          </w:p>
        </w:tc>
        <w:tc>
          <w:tcPr>
            <w:tcW w:w="9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(6,058</w:t>
            </w:r>
            <w:bookmarkStart w:id="519" w:name=".trail.231"/>
            <w:bookmarkStart w:id="520" w:name=".trail.232"/>
            <w:bookmarkEnd w:id="519"/>
            <w:bookmarkEnd w:id="520"/>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bookmarkStart w:id="521" w:name=".amt.389"/>
            <w:bookmarkStart w:id="522" w:name=".amt.390"/>
            <w:bookmarkEnd w:id="521"/>
            <w:bookmarkEnd w:id="522"/>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(3,382</w:t>
            </w:r>
            <w:bookmarkStart w:id="523" w:name=".trail.333"/>
            <w:bookmarkStart w:id="524" w:name=".trail.334"/>
            <w:bookmarkEnd w:id="523"/>
            <w:bookmarkEnd w:id="52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25" w:name=".amt.291"/>
            <w:bookmarkStart w:id="526" w:name=".amt.292"/>
            <w:bookmarkEnd w:id="525"/>
            <w:bookmarkEnd w:id="526"/>
          </w:p>
        </w:tc>
        <w:tc>
          <w:tcPr>
            <w:tcW w:w="9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13,645</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27" w:name=".amt.391"/>
            <w:bookmarkStart w:id="528" w:name=".amt.392"/>
            <w:bookmarkEnd w:id="527"/>
            <w:bookmarkEnd w:id="528"/>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10,694</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0"/>
              <w:ind w:left="0" w:right="0" w:hanging="0"/>
              <w:jc w:val="left"/>
              <w:rPr/>
            </w:pPr>
            <w:r>
              <w:rPr/>
              <w:t> </w:t>
            </w:r>
            <w:bookmarkStart w:id="529" w:name=".symb.29"/>
            <w:bookmarkStart w:id="530" w:name=".symb.210"/>
            <w:bookmarkEnd w:id="529"/>
            <w:bookmarkEnd w:id="530"/>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31" w:name=".amt.293"/>
            <w:bookmarkStart w:id="532" w:name=".amt.294"/>
            <w:bookmarkEnd w:id="531"/>
            <w:bookmarkEnd w:id="532"/>
          </w:p>
        </w:tc>
        <w:tc>
          <w:tcPr>
            <w:tcW w:w="9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7,587</w:t>
            </w:r>
          </w:p>
        </w:tc>
        <w:tc>
          <w:tcPr>
            <w:tcW w:w="102"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bookmarkStart w:id="533" w:name=".symb.39"/>
            <w:bookmarkStart w:id="534" w:name=".symb.310"/>
            <w:bookmarkEnd w:id="533"/>
            <w:bookmarkEnd w:id="534"/>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35" w:name=".amt.393"/>
            <w:bookmarkStart w:id="536" w:name=".amt.394"/>
            <w:bookmarkEnd w:id="535"/>
            <w:bookmarkEnd w:id="536"/>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7,312</w:t>
            </w:r>
          </w:p>
        </w:tc>
        <w:tc>
          <w:tcPr>
            <w:tcW w:w="8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144" w:right="144"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Definitions, Reconciliations, and Uses of Non-GAAP Financial Measures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non-GAAP measures are used in this release:</w:t>
      </w:r>
    </w:p>
    <w:p>
      <w:pPr>
        <w:pStyle w:val="TextBody"/>
        <w:bidi w:val="0"/>
        <w:spacing w:before="0" w:after="0"/>
        <w:ind w:left="0" w:right="0" w:hanging="0"/>
        <w:jc w:val="left"/>
        <w:rPr/>
      </w:pPr>
      <w:r>
        <w:rPr/>
        <w:t>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Media margin is defined as that portion of gross profit (exclusive of depreciation and amortization) reflecting variable costs paid for media and related expenses and excluding non-media cost of revenue and one-time items. Gross profit (exclusive of depreciation and amortization) represents revenue minus cost of revenue (exclusive of depreciation and amortization). Media margin is also presented for the Commerce Media Solutions business and as percentages of revenue of the consolidated company and of the Commerce Media Solutions business, respectively.</w:t>
      </w:r>
    </w:p>
    <w:p>
      <w:pPr>
        <w:pStyle w:val="TextBody"/>
        <w:bidi w:val="0"/>
        <w:spacing w:before="0" w:after="0"/>
        <w:ind w:left="360" w:right="0" w:hanging="0"/>
        <w:jc w:val="left"/>
        <w:rPr/>
      </w:pPr>
      <w:r>
        <w:rPr/>
        <w:t>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Adjusted EBITDA is defined as net income (loss), excluding (1) income taxes, (2) interest expense, net, (3) depreciation and amortization, (4) share-based compensation expense, (5) loss on early extinguishment of debt, (6) loss on disposal of assets, (7) goodwill impairment, (8) impairment of intangible assets, (9) fair value adjustment of Convertible Notes with related parties, (10) acquisition-related costs, (11) restructuring and other severance costs, (12) certain litigation and other related costs, and (13) other one-time items.</w:t>
      </w:r>
    </w:p>
    <w:p>
      <w:pPr>
        <w:pStyle w:val="TextBody"/>
        <w:bidi w:val="0"/>
        <w:spacing w:before="0" w:after="0"/>
        <w:ind w:left="360" w:right="0" w:hanging="0"/>
        <w:jc w:val="left"/>
        <w:rPr/>
      </w:pPr>
      <w:r>
        <w:rPr/>
        <w:t>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Adjusted net income is defined as net income (loss) excluding (1) share-based compensation expense, (2) loss on early extinguishment of debt, (3) loss on disposal of assets, (4) goodwill impairment, (5) impairment of intangible assets, (6) fair value adjustment of Convertible Notes with related parties, (7) acquisition-related costs, (8) restructuring and other severance costs, (9) certain litigation and other related costs, and (10) other one-time items. Adjusted net income is also presented on a per share (basic and diluted) basis.</w:t>
      </w:r>
    </w:p>
    <w:p>
      <w:pPr>
        <w:pStyle w:val="TextBody"/>
        <w:bidi w:val="0"/>
        <w:spacing w:before="0" w:after="0"/>
        <w:ind w:left="360" w:right="0" w:hanging="0"/>
        <w:jc w:val="left"/>
        <w:rPr/>
      </w:pPr>
      <w:r>
        <w:rPr/>
        <w:t>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We consider items one-time in nature if they are non-recurring, infrequent, or unusual and have not occurred in the past two years or are not expected to recur in the next two years, in accordance with SEC rules.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Below is a reconciliation of media margin from gross profit (exclusive of depreciation and amortization), which we believe is the most directly comparable U.S. GAAP measure.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42"/>
        <w:gridCol w:w="60"/>
        <w:gridCol w:w="177"/>
        <w:gridCol w:w="840"/>
        <w:gridCol w:w="263"/>
        <w:gridCol w:w="84"/>
        <w:gridCol w:w="177"/>
        <w:gridCol w:w="840"/>
        <w:gridCol w:w="185"/>
        <w:gridCol w:w="60"/>
        <w:gridCol w:w="162"/>
        <w:gridCol w:w="771"/>
        <w:gridCol w:w="241"/>
        <w:gridCol w:w="78"/>
        <w:gridCol w:w="162"/>
        <w:gridCol w:w="771"/>
        <w:gridCol w:w="192"/>
      </w:tblGrid>
      <w:tr>
        <w:trPr/>
        <w:tc>
          <w:tcPr>
            <w:tcW w:w="514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37" w:name=".amt.D37"/>
            <w:bookmarkStart w:id="538" w:name=".amt.D38"/>
            <w:bookmarkEnd w:id="537"/>
            <w:bookmarkEnd w:id="538"/>
          </w:p>
        </w:tc>
        <w:tc>
          <w:tcPr>
            <w:tcW w:w="23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39" w:name=".amt.D53"/>
            <w:bookmarkStart w:id="540" w:name=".amt.D54"/>
            <w:bookmarkEnd w:id="539"/>
            <w:bookmarkEnd w:id="540"/>
          </w:p>
        </w:tc>
        <w:tc>
          <w:tcPr>
            <w:tcW w:w="2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192" w:type="dxa"/>
            <w:tcBorders/>
            <w:shd w:fill="FFFFFF" w:val="clear"/>
            <w:vAlign w:val="center"/>
          </w:tcPr>
          <w:p>
            <w:pPr>
              <w:pStyle w:val="TableContents"/>
              <w:bidi w:val="0"/>
              <w:spacing w:before="0" w:after="0"/>
              <w:ind w:left="0" w:right="0" w:hanging="0"/>
              <w:jc w:val="left"/>
              <w:rPr/>
            </w:pPr>
            <w:r>
              <w:rPr/>
              <w:t> </w:t>
            </w:r>
          </w:p>
        </w:tc>
      </w:tr>
      <w:tr>
        <w:trPr/>
        <w:tc>
          <w:tcPr>
            <w:tcW w:w="5142"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0"/>
              <w:ind w:left="0" w:right="0" w:hanging="0"/>
              <w:jc w:val="left"/>
              <w:rPr/>
            </w:pPr>
            <w:r>
              <w:rPr/>
              <w:t> </w:t>
            </w:r>
            <w:bookmarkStart w:id="541" w:name=".amt.D23"/>
            <w:bookmarkStart w:id="542" w:name=".amt.D24"/>
            <w:bookmarkEnd w:id="541"/>
            <w:bookmarkEnd w:id="542"/>
          </w:p>
        </w:tc>
        <w:tc>
          <w:tcPr>
            <w:tcW w:w="10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263"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bookmarkStart w:id="543" w:name=".amt.D39"/>
            <w:bookmarkStart w:id="544" w:name=".amt.D310"/>
            <w:bookmarkEnd w:id="543"/>
            <w:bookmarkEnd w:id="544"/>
          </w:p>
        </w:tc>
        <w:tc>
          <w:tcPr>
            <w:tcW w:w="10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45" w:name=".amt.D41"/>
            <w:bookmarkStart w:id="546" w:name=".amt.D42"/>
            <w:bookmarkEnd w:id="545"/>
            <w:bookmarkEnd w:id="546"/>
          </w:p>
        </w:tc>
        <w:tc>
          <w:tcPr>
            <w:tcW w:w="9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241"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547" w:name=".amt.D55"/>
            <w:bookmarkStart w:id="548" w:name=".amt.D56"/>
            <w:bookmarkEnd w:id="547"/>
            <w:bookmarkEnd w:id="548"/>
          </w:p>
        </w:tc>
        <w:tc>
          <w:tcPr>
            <w:tcW w:w="9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92" w:type="dxa"/>
            <w:tcBorders/>
            <w:shd w:fill="FFFFFF" w:val="clear"/>
            <w:vAlign w:val="center"/>
          </w:tcPr>
          <w:p>
            <w:pPr>
              <w:pStyle w:val="TableContents"/>
              <w:bidi w:val="0"/>
              <w:spacing w:before="0" w:after="0"/>
              <w:ind w:left="0" w:right="0" w:hanging="0"/>
              <w:jc w:val="left"/>
              <w:rPr/>
            </w:pPr>
            <w:r>
              <w:rPr/>
              <w:t> </w:t>
            </w:r>
          </w:p>
        </w:tc>
      </w:tr>
      <w:tr>
        <w:trPr/>
        <w:tc>
          <w:tcPr>
            <w:tcW w:w="51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vAlign w:val="center"/>
          </w:tcPr>
          <w:p>
            <w:pPr>
              <w:pStyle w:val="TableContents"/>
              <w:bidi w:val="0"/>
              <w:spacing w:before="0" w:after="0"/>
              <w:ind w:left="0" w:right="0" w:hanging="0"/>
              <w:jc w:val="left"/>
              <w:rPr/>
            </w:pPr>
            <w:r>
              <w:rPr/>
              <w:t> </w:t>
            </w:r>
            <w:bookmarkStart w:id="549" w:name=".symb.211"/>
            <w:bookmarkStart w:id="550" w:name=".symb.212"/>
            <w:bookmarkEnd w:id="549"/>
            <w:bookmarkEnd w:id="550"/>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51" w:name=".amt.295"/>
            <w:bookmarkStart w:id="552" w:name=".amt.296"/>
            <w:bookmarkEnd w:id="551"/>
            <w:bookmarkEnd w:id="552"/>
          </w:p>
        </w:tc>
        <w:tc>
          <w:tcPr>
            <w:tcW w:w="8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48,449</w:t>
            </w:r>
          </w:p>
        </w:tc>
        <w:tc>
          <w:tcPr>
            <w:tcW w:w="263"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bookmarkStart w:id="553" w:name=".symb.311"/>
            <w:bookmarkStart w:id="554" w:name=".symb.312"/>
            <w:bookmarkEnd w:id="553"/>
            <w:bookmarkEnd w:id="554"/>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55" w:name=".amt.395"/>
            <w:bookmarkStart w:id="556" w:name=".amt.396"/>
            <w:bookmarkEnd w:id="555"/>
            <w:bookmarkEnd w:id="556"/>
          </w:p>
        </w:tc>
        <w:tc>
          <w:tcPr>
            <w:tcW w:w="8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44,706</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57" w:name=".symb.47"/>
            <w:bookmarkStart w:id="558" w:name=".symb.48"/>
            <w:bookmarkEnd w:id="557"/>
            <w:bookmarkEnd w:id="558"/>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59" w:name=".amt.435"/>
            <w:bookmarkStart w:id="560" w:name=".amt.436"/>
            <w:bookmarkEnd w:id="559"/>
            <w:bookmarkEnd w:id="560"/>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93,301</w:t>
            </w:r>
          </w:p>
        </w:tc>
        <w:tc>
          <w:tcPr>
            <w:tcW w:w="241"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561" w:name=".symb.57"/>
            <w:bookmarkStart w:id="562" w:name=".symb.58"/>
            <w:bookmarkEnd w:id="561"/>
            <w:bookmarkEnd w:id="562"/>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63" w:name=".amt.535"/>
            <w:bookmarkStart w:id="564" w:name=".amt.536"/>
            <w:bookmarkEnd w:id="563"/>
            <w:bookmarkEnd w:id="564"/>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99,916</w:t>
            </w:r>
          </w:p>
        </w:tc>
        <w:tc>
          <w:tcPr>
            <w:tcW w:w="192" w:type="dxa"/>
            <w:tcBorders/>
            <w:shd w:fill="CCEEFF" w:val="clear"/>
            <w:vAlign w:val="center"/>
          </w:tcPr>
          <w:p>
            <w:pPr>
              <w:pStyle w:val="TableContents"/>
              <w:bidi w:val="0"/>
              <w:spacing w:before="0" w:after="0"/>
              <w:ind w:left="0" w:right="0" w:hanging="0"/>
              <w:jc w:val="left"/>
              <w:rPr/>
            </w:pPr>
            <w:r>
              <w:rPr/>
              <w:t> </w:t>
            </w:r>
          </w:p>
        </w:tc>
      </w:tr>
      <w:tr>
        <w:trPr/>
        <w:tc>
          <w:tcPr>
            <w:tcW w:w="514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Cost of revenue (exclusive of depreciation and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65" w:name=".amt.297"/>
            <w:bookmarkStart w:id="566" w:name=".amt.298"/>
            <w:bookmarkEnd w:id="565"/>
            <w:bookmarkEnd w:id="566"/>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34,440</w:t>
            </w:r>
          </w:p>
        </w:tc>
        <w:tc>
          <w:tcPr>
            <w:tcW w:w="263"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67" w:name=".amt.397"/>
            <w:bookmarkStart w:id="568" w:name=".amt.398"/>
            <w:bookmarkEnd w:id="567"/>
            <w:bookmarkEnd w:id="568"/>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69" w:name=".amt.437"/>
            <w:bookmarkStart w:id="570" w:name=".amt.438"/>
            <w:bookmarkEnd w:id="569"/>
            <w:bookmarkEnd w:id="570"/>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69,253</w:t>
            </w:r>
          </w:p>
        </w:tc>
        <w:tc>
          <w:tcPr>
            <w:tcW w:w="241"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71" w:name=".amt.537"/>
            <w:bookmarkStart w:id="572" w:name=".amt.538"/>
            <w:bookmarkEnd w:id="571"/>
            <w:bookmarkEnd w:id="572"/>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78,201</w:t>
            </w:r>
          </w:p>
        </w:tc>
        <w:tc>
          <w:tcPr>
            <w:tcW w:w="192" w:type="dxa"/>
            <w:tcBorders/>
            <w:shd w:fill="FFFFFF" w:val="clear"/>
            <w:vAlign w:val="center"/>
          </w:tcPr>
          <w:p>
            <w:pPr>
              <w:pStyle w:val="TableContents"/>
              <w:bidi w:val="0"/>
              <w:spacing w:before="0" w:after="0"/>
              <w:ind w:left="0" w:right="0" w:hanging="0"/>
              <w:jc w:val="left"/>
              <w:rPr/>
            </w:pPr>
            <w:r>
              <w:rPr/>
              <w:t> </w:t>
            </w:r>
          </w:p>
        </w:tc>
      </w:tr>
      <w:tr>
        <w:trPr/>
        <w:tc>
          <w:tcPr>
            <w:tcW w:w="5142"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 (exclusive of depreciation and amortization)</w:t>
            </w:r>
          </w:p>
        </w:tc>
        <w:tc>
          <w:tcPr>
            <w:tcW w:w="60" w:type="dxa"/>
            <w:tcBorders/>
            <w:shd w:fill="CCEEFF" w:val="clear"/>
            <w:vAlign w:val="center"/>
          </w:tcPr>
          <w:p>
            <w:pPr>
              <w:pStyle w:val="TableContents"/>
              <w:bidi w:val="0"/>
              <w:spacing w:before="0" w:after="0"/>
              <w:ind w:left="0" w:right="0" w:hanging="0"/>
              <w:jc w:val="left"/>
              <w:rPr/>
            </w:pPr>
            <w:r>
              <w:rPr/>
              <w:t> </w:t>
            </w:r>
            <w:bookmarkStart w:id="573" w:name=".symb.213"/>
            <w:bookmarkStart w:id="574" w:name=".symb.214"/>
            <w:bookmarkEnd w:id="573"/>
            <w:bookmarkEnd w:id="574"/>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75" w:name=".amt.299"/>
            <w:bookmarkStart w:id="576" w:name=".amt.2100"/>
            <w:bookmarkEnd w:id="575"/>
            <w:bookmarkEnd w:id="576"/>
          </w:p>
        </w:tc>
        <w:tc>
          <w:tcPr>
            <w:tcW w:w="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14,009</w:t>
            </w:r>
          </w:p>
        </w:tc>
        <w:tc>
          <w:tcPr>
            <w:tcW w:w="263"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bookmarkStart w:id="577" w:name=".symb.313"/>
            <w:bookmarkStart w:id="578" w:name=".symb.314"/>
            <w:bookmarkEnd w:id="577"/>
            <w:bookmarkEnd w:id="578"/>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79" w:name=".amt.399"/>
            <w:bookmarkStart w:id="580" w:name=".amt.3100"/>
            <w:bookmarkEnd w:id="579"/>
            <w:bookmarkEnd w:id="580"/>
          </w:p>
        </w:tc>
        <w:tc>
          <w:tcPr>
            <w:tcW w:w="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81" w:name=".symb.49"/>
            <w:bookmarkStart w:id="582" w:name=".symb.410"/>
            <w:bookmarkEnd w:id="581"/>
            <w:bookmarkEnd w:id="582"/>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83" w:name=".amt.439"/>
            <w:bookmarkStart w:id="584" w:name=".amt.440"/>
            <w:bookmarkEnd w:id="583"/>
            <w:bookmarkEnd w:id="584"/>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24,048</w:t>
            </w:r>
          </w:p>
        </w:tc>
        <w:tc>
          <w:tcPr>
            <w:tcW w:w="241"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585" w:name=".symb.59"/>
            <w:bookmarkStart w:id="586" w:name=".symb.510"/>
            <w:bookmarkEnd w:id="585"/>
            <w:bookmarkEnd w:id="586"/>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87" w:name=".amt.539"/>
            <w:bookmarkStart w:id="588" w:name=".amt.540"/>
            <w:bookmarkEnd w:id="587"/>
            <w:bookmarkEnd w:id="588"/>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21,715</w:t>
            </w:r>
          </w:p>
        </w:tc>
        <w:tc>
          <w:tcPr>
            <w:tcW w:w="192" w:type="dxa"/>
            <w:tcBorders/>
            <w:shd w:fill="CCEEFF" w:val="clear"/>
            <w:vAlign w:val="center"/>
          </w:tcPr>
          <w:p>
            <w:pPr>
              <w:pStyle w:val="TableContents"/>
              <w:bidi w:val="0"/>
              <w:spacing w:before="0" w:after="0"/>
              <w:ind w:left="0" w:right="0" w:hanging="0"/>
              <w:jc w:val="left"/>
              <w:rPr/>
            </w:pPr>
            <w:r>
              <w:rPr/>
              <w:t> </w:t>
            </w:r>
          </w:p>
        </w:tc>
      </w:tr>
      <w:tr>
        <w:trPr/>
        <w:tc>
          <w:tcPr>
            <w:tcW w:w="5142"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 (exclusive of depreciation and amortization) % of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9" w:name=".amt.2101"/>
            <w:bookmarkStart w:id="590" w:name=".amt.2102"/>
            <w:bookmarkEnd w:id="589"/>
            <w:bookmarkEnd w:id="590"/>
          </w:p>
        </w:tc>
        <w:tc>
          <w:tcPr>
            <w:tcW w:w="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bookmarkStart w:id="591" w:name=".trail.233"/>
            <w:bookmarkStart w:id="592" w:name=".trail.234"/>
            <w:bookmarkEnd w:id="591"/>
            <w:bookmarkEnd w:id="592"/>
          </w:p>
        </w:tc>
        <w:tc>
          <w:tcPr>
            <w:tcW w:w="2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0"/>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93" w:name=".amt.3101"/>
            <w:bookmarkStart w:id="594" w:name=".amt.3102"/>
            <w:bookmarkEnd w:id="593"/>
            <w:bookmarkEnd w:id="594"/>
          </w:p>
        </w:tc>
        <w:tc>
          <w:tcPr>
            <w:tcW w:w="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bookmarkStart w:id="595" w:name=".trail.335"/>
            <w:bookmarkStart w:id="596" w:name=".trail.336"/>
            <w:bookmarkEnd w:id="595"/>
            <w:bookmarkEnd w:id="596"/>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97" w:name=".amt.441"/>
            <w:bookmarkStart w:id="598" w:name=".amt.442"/>
            <w:bookmarkEnd w:id="597"/>
            <w:bookmarkEnd w:id="598"/>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bookmarkStart w:id="599" w:name=".trail.415"/>
            <w:bookmarkStart w:id="600" w:name=".trail.416"/>
            <w:bookmarkEnd w:id="599"/>
            <w:bookmarkEnd w:id="600"/>
          </w:p>
        </w:tc>
        <w:tc>
          <w:tcPr>
            <w:tcW w:w="2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01" w:name=".amt.541"/>
            <w:bookmarkStart w:id="602" w:name=".amt.542"/>
            <w:bookmarkEnd w:id="601"/>
            <w:bookmarkEnd w:id="602"/>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bookmarkStart w:id="603" w:name=".trail.513"/>
            <w:bookmarkStart w:id="604" w:name=".trail.514"/>
            <w:bookmarkEnd w:id="603"/>
            <w:bookmarkEnd w:id="604"/>
          </w:p>
        </w:tc>
        <w:tc>
          <w:tcPr>
            <w:tcW w:w="19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Non-media cost of revenue</w:t>
            </w:r>
            <w:r>
              <w:rPr>
                <w:rFonts w:ascii="Times New Roman" w:hAnsi="Times New Roman"/>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bookmarkStart w:id="605" w:name=".amt.2103"/>
            <w:bookmarkStart w:id="606" w:name=".amt.2104"/>
            <w:bookmarkEnd w:id="605"/>
            <w:bookmarkEnd w:id="606"/>
          </w:p>
        </w:tc>
        <w:tc>
          <w:tcPr>
            <w:tcW w:w="8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3,640</w:t>
            </w:r>
          </w:p>
        </w:tc>
        <w:tc>
          <w:tcPr>
            <w:tcW w:w="263"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bookmarkStart w:id="607" w:name=".amt.3103"/>
            <w:bookmarkStart w:id="608" w:name=".amt.3104"/>
            <w:bookmarkEnd w:id="607"/>
            <w:bookmarkEnd w:id="608"/>
          </w:p>
        </w:tc>
        <w:tc>
          <w:tcPr>
            <w:tcW w:w="8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2" w:type="dxa"/>
            <w:tcBorders/>
            <w:shd w:fill="CCEEFF" w:val="clear"/>
            <w:vAlign w:val="center"/>
          </w:tcPr>
          <w:p>
            <w:pPr>
              <w:pStyle w:val="TableContents"/>
              <w:bidi w:val="0"/>
              <w:spacing w:before="0" w:after="0"/>
              <w:ind w:left="0" w:right="0" w:hanging="0"/>
              <w:jc w:val="left"/>
              <w:rPr/>
            </w:pPr>
            <w:r>
              <w:rPr/>
              <w:t> </w:t>
            </w:r>
            <w:bookmarkStart w:id="609" w:name=".amt.443"/>
            <w:bookmarkStart w:id="610" w:name=".amt.444"/>
            <w:bookmarkEnd w:id="609"/>
            <w:bookmarkEnd w:id="610"/>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7,601</w:t>
            </w:r>
          </w:p>
        </w:tc>
        <w:tc>
          <w:tcPr>
            <w:tcW w:w="241"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2" w:type="dxa"/>
            <w:tcBorders/>
            <w:shd w:fill="CCEEFF" w:val="clear"/>
            <w:vAlign w:val="center"/>
          </w:tcPr>
          <w:p>
            <w:pPr>
              <w:pStyle w:val="TableContents"/>
              <w:bidi w:val="0"/>
              <w:spacing w:before="0" w:after="0"/>
              <w:ind w:left="0" w:right="0" w:hanging="0"/>
              <w:jc w:val="left"/>
              <w:rPr/>
            </w:pPr>
            <w:r>
              <w:rPr/>
              <w:t> </w:t>
            </w:r>
            <w:bookmarkStart w:id="611" w:name=".amt.543"/>
            <w:bookmarkStart w:id="612" w:name=".amt.544"/>
            <w:bookmarkEnd w:id="611"/>
            <w:bookmarkEnd w:id="612"/>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3,959</w:t>
            </w:r>
          </w:p>
        </w:tc>
        <w:tc>
          <w:tcPr>
            <w:tcW w:w="192" w:type="dxa"/>
            <w:tcBorders/>
            <w:shd w:fill="CCEEFF" w:val="clear"/>
            <w:vAlign w:val="center"/>
          </w:tcPr>
          <w:p>
            <w:pPr>
              <w:pStyle w:val="TableContents"/>
              <w:bidi w:val="0"/>
              <w:spacing w:before="0" w:after="0"/>
              <w:ind w:left="0" w:right="0" w:hanging="0"/>
              <w:jc w:val="left"/>
              <w:rPr/>
            </w:pPr>
            <w:r>
              <w:rPr/>
              <w:t> </w:t>
            </w:r>
          </w:p>
        </w:tc>
      </w:tr>
      <w:tr>
        <w:trPr/>
        <w:tc>
          <w:tcPr>
            <w:tcW w:w="51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One-time item</w:t>
            </w:r>
            <w:r>
              <w:rPr>
                <w:rFonts w:ascii="Times New Roman" w:hAnsi="Times New Roman"/>
                <w:caps w:val="false"/>
                <w:smallCaps w:val="false"/>
                <w:position w:val="7"/>
                <w:sz w:val="16"/>
                <w:sz w:val="20"/>
              </w:rPr>
              <w:t>(2)</w:t>
            </w:r>
          </w:p>
        </w:tc>
        <w:tc>
          <w:tcPr>
            <w:tcW w:w="60" w:type="dxa"/>
            <w:tcBorders/>
            <w:shd w:fill="FFFF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13" w:name=".amt.2105"/>
            <w:bookmarkStart w:id="614" w:name=".amt.2106"/>
            <w:bookmarkEnd w:id="613"/>
            <w:bookmarkEnd w:id="614"/>
          </w:p>
        </w:tc>
        <w:tc>
          <w:tcPr>
            <w:tcW w:w="840"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bookmarkStart w:id="615" w:name=".trail.235"/>
            <w:bookmarkStart w:id="616" w:name=".trail.236"/>
            <w:bookmarkEnd w:id="615"/>
            <w:bookmarkEnd w:id="616"/>
          </w:p>
        </w:tc>
        <w:tc>
          <w:tcPr>
            <w:tcW w:w="2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17" w:name=".amt.3105"/>
            <w:bookmarkStart w:id="618" w:name=".amt.3106"/>
            <w:bookmarkEnd w:id="617"/>
            <w:bookmarkEnd w:id="618"/>
          </w:p>
        </w:tc>
        <w:tc>
          <w:tcPr>
            <w:tcW w:w="840"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bookmarkStart w:id="619" w:name=".trail.337"/>
            <w:bookmarkStart w:id="620" w:name=".trail.338"/>
            <w:bookmarkEnd w:id="619"/>
            <w:bookmarkEnd w:id="620"/>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21" w:name=".amt.445"/>
            <w:bookmarkStart w:id="622" w:name=".amt.446"/>
            <w:bookmarkEnd w:id="621"/>
            <w:bookmarkEnd w:id="622"/>
          </w:p>
        </w:tc>
        <w:tc>
          <w:tcPr>
            <w:tcW w:w="771"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bookmarkStart w:id="623" w:name=".trail.417"/>
            <w:bookmarkStart w:id="624" w:name=".trail.418"/>
            <w:bookmarkEnd w:id="623"/>
            <w:bookmarkEnd w:id="624"/>
          </w:p>
        </w:tc>
        <w:tc>
          <w:tcPr>
            <w:tcW w:w="2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25" w:name=".amt.545"/>
            <w:bookmarkStart w:id="626" w:name=".amt.546"/>
            <w:bookmarkEnd w:id="625"/>
            <w:bookmarkEnd w:id="626"/>
          </w:p>
        </w:tc>
        <w:tc>
          <w:tcPr>
            <w:tcW w:w="771"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bookmarkStart w:id="627" w:name=".trail.515"/>
            <w:bookmarkStart w:id="628" w:name=".trail.516"/>
            <w:bookmarkEnd w:id="627"/>
            <w:bookmarkEnd w:id="628"/>
          </w:p>
        </w:tc>
        <w:tc>
          <w:tcPr>
            <w:tcW w:w="192" w:type="dxa"/>
            <w:tcBorders/>
            <w:shd w:fill="FFFFFF" w:val="clear"/>
            <w:vAlign w:val="center"/>
          </w:tcPr>
          <w:p>
            <w:pPr>
              <w:pStyle w:val="TableContents"/>
              <w:bidi w:val="0"/>
              <w:spacing w:before="0" w:after="0"/>
              <w:ind w:left="0" w:right="0" w:hanging="0"/>
              <w:jc w:val="left"/>
              <w:rPr/>
            </w:pPr>
            <w:r>
              <w:rPr/>
              <w:t> </w:t>
            </w:r>
          </w:p>
        </w:tc>
      </w:tr>
      <w:tr>
        <w:trPr/>
        <w:tc>
          <w:tcPr>
            <w:tcW w:w="5142"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Media margin</w:t>
            </w:r>
          </w:p>
        </w:tc>
        <w:tc>
          <w:tcPr>
            <w:tcW w:w="60" w:type="dxa"/>
            <w:tcBorders/>
            <w:shd w:fill="CCEEFF" w:val="clear"/>
            <w:vAlign w:val="center"/>
          </w:tcPr>
          <w:p>
            <w:pPr>
              <w:pStyle w:val="TableContents"/>
              <w:bidi w:val="0"/>
              <w:spacing w:before="0" w:after="0"/>
              <w:ind w:left="0" w:right="0" w:hanging="0"/>
              <w:jc w:val="left"/>
              <w:rPr/>
            </w:pPr>
            <w:r>
              <w:rPr/>
              <w:t> </w:t>
            </w:r>
            <w:bookmarkStart w:id="629" w:name=".symb.215"/>
            <w:bookmarkStart w:id="630" w:name=".symb.216"/>
            <w:bookmarkEnd w:id="629"/>
            <w:bookmarkEnd w:id="630"/>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31" w:name=".amt.2107"/>
            <w:bookmarkStart w:id="632" w:name=".amt.2108"/>
            <w:bookmarkEnd w:id="631"/>
            <w:bookmarkEnd w:id="632"/>
          </w:p>
        </w:tc>
        <w:tc>
          <w:tcPr>
            <w:tcW w:w="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17,493</w:t>
            </w:r>
          </w:p>
        </w:tc>
        <w:tc>
          <w:tcPr>
            <w:tcW w:w="263"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bookmarkStart w:id="633" w:name=".symb.315"/>
            <w:bookmarkStart w:id="634" w:name=".symb.316"/>
            <w:bookmarkEnd w:id="633"/>
            <w:bookmarkEnd w:id="634"/>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35" w:name=".amt.3107"/>
            <w:bookmarkStart w:id="636" w:name=".amt.3108"/>
            <w:bookmarkEnd w:id="635"/>
            <w:bookmarkEnd w:id="636"/>
          </w:p>
        </w:tc>
        <w:tc>
          <w:tcPr>
            <w:tcW w:w="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637" w:name=".symb.411"/>
            <w:bookmarkStart w:id="638" w:name=".symb.412"/>
            <w:bookmarkEnd w:id="637"/>
            <w:bookmarkEnd w:id="638"/>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39" w:name=".amt.447"/>
            <w:bookmarkStart w:id="640" w:name=".amt.448"/>
            <w:bookmarkEnd w:id="639"/>
            <w:bookmarkEnd w:id="640"/>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31,493</w:t>
            </w:r>
          </w:p>
        </w:tc>
        <w:tc>
          <w:tcPr>
            <w:tcW w:w="241"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641" w:name=".symb.511"/>
            <w:bookmarkStart w:id="642" w:name=".symb.512"/>
            <w:bookmarkEnd w:id="641"/>
            <w:bookmarkEnd w:id="642"/>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43" w:name=".amt.547"/>
            <w:bookmarkStart w:id="644" w:name=".amt.548"/>
            <w:bookmarkEnd w:id="643"/>
            <w:bookmarkEnd w:id="644"/>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25,674</w:t>
            </w:r>
          </w:p>
        </w:tc>
        <w:tc>
          <w:tcPr>
            <w:tcW w:w="192" w:type="dxa"/>
            <w:tcBorders/>
            <w:shd w:fill="CCEEFF" w:val="clear"/>
            <w:vAlign w:val="center"/>
          </w:tcPr>
          <w:p>
            <w:pPr>
              <w:pStyle w:val="TableContents"/>
              <w:bidi w:val="0"/>
              <w:spacing w:before="0" w:after="0"/>
              <w:ind w:left="0" w:right="0" w:hanging="0"/>
              <w:jc w:val="left"/>
              <w:rPr/>
            </w:pPr>
            <w:r>
              <w:rPr/>
              <w:t> </w:t>
            </w:r>
          </w:p>
        </w:tc>
      </w:tr>
      <w:tr>
        <w:trPr/>
        <w:tc>
          <w:tcPr>
            <w:tcW w:w="5142"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Media margin % of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45" w:name=".amt.2109"/>
            <w:bookmarkStart w:id="646" w:name=".amt.2110"/>
            <w:bookmarkEnd w:id="645"/>
            <w:bookmarkEnd w:id="646"/>
          </w:p>
        </w:tc>
        <w:tc>
          <w:tcPr>
            <w:tcW w:w="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w:t>
            </w:r>
            <w:bookmarkStart w:id="647" w:name=".trail.237"/>
            <w:bookmarkStart w:id="648" w:name=".trail.238"/>
            <w:bookmarkEnd w:id="647"/>
            <w:bookmarkEnd w:id="648"/>
          </w:p>
        </w:tc>
        <w:tc>
          <w:tcPr>
            <w:tcW w:w="2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0"/>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49" w:name=".amt.3109"/>
            <w:bookmarkStart w:id="650" w:name=".amt.3110"/>
            <w:bookmarkEnd w:id="649"/>
            <w:bookmarkEnd w:id="650"/>
          </w:p>
        </w:tc>
        <w:tc>
          <w:tcPr>
            <w:tcW w:w="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w:t>
            </w:r>
            <w:bookmarkStart w:id="651" w:name=".trail.339"/>
            <w:bookmarkStart w:id="652" w:name=".trail.340"/>
            <w:bookmarkEnd w:id="651"/>
            <w:bookmarkEnd w:id="652"/>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53" w:name=".amt.449"/>
            <w:bookmarkStart w:id="654" w:name=".amt.450"/>
            <w:bookmarkEnd w:id="653"/>
            <w:bookmarkEnd w:id="654"/>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w:t>
            </w:r>
            <w:bookmarkStart w:id="655" w:name=".trail.419"/>
            <w:bookmarkStart w:id="656" w:name=".trail.420"/>
            <w:bookmarkEnd w:id="655"/>
            <w:bookmarkEnd w:id="656"/>
          </w:p>
        </w:tc>
        <w:tc>
          <w:tcPr>
            <w:tcW w:w="2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57" w:name=".amt.549"/>
            <w:bookmarkStart w:id="658" w:name=".amt.550"/>
            <w:bookmarkEnd w:id="657"/>
            <w:bookmarkEnd w:id="658"/>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w:t>
            </w:r>
            <w:bookmarkStart w:id="659" w:name=".trail.517"/>
            <w:bookmarkStart w:id="660" w:name=".trail.518"/>
            <w:bookmarkEnd w:id="659"/>
            <w:bookmarkEnd w:id="660"/>
          </w:p>
        </w:tc>
        <w:tc>
          <w:tcPr>
            <w:tcW w:w="19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Represents the portion of cost of revenue (exclusive of depreciation and amortization) not attributable to variable costs paid for media and related expenses.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position w:val="7"/>
          <w:sz w:val="16"/>
          <w:sz w:val="20"/>
        </w:rPr>
        <w:t>(2)</w:t>
      </w:r>
      <w:r>
        <w:rPr>
          <w:rFonts w:ascii="Times New Roman" w:hAnsi="Times New Roman"/>
          <w:caps w:val="false"/>
          <w:smallCaps w:val="false"/>
          <w:sz w:val="20"/>
        </w:rPr>
        <w:t xml:space="preserve"> Includes a one-time non-media revenue adjustment of ($156) in connection with a settlement with a media partner.</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Below is a reconciliation of media margin from gross profit for Commerce Media Solutions (exclusive of depreciation and amortization), which we believe is the most directly comparable U.S. GAAP measure.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358"/>
        <w:gridCol w:w="60"/>
        <w:gridCol w:w="193"/>
        <w:gridCol w:w="916"/>
        <w:gridCol w:w="93"/>
        <w:gridCol w:w="93"/>
        <w:gridCol w:w="193"/>
        <w:gridCol w:w="916"/>
        <w:gridCol w:w="60"/>
        <w:gridCol w:w="60"/>
        <w:gridCol w:w="177"/>
        <w:gridCol w:w="837"/>
        <w:gridCol w:w="85"/>
        <w:gridCol w:w="85"/>
        <w:gridCol w:w="177"/>
        <w:gridCol w:w="837"/>
        <w:gridCol w:w="65"/>
      </w:tblGrid>
      <w:tr>
        <w:trPr/>
        <w:tc>
          <w:tcPr>
            <w:tcW w:w="535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661" w:name=".amt.D311"/>
            <w:bookmarkStart w:id="662" w:name=".amt.D312"/>
            <w:bookmarkEnd w:id="661"/>
            <w:bookmarkEnd w:id="662"/>
          </w:p>
        </w:tc>
        <w:tc>
          <w:tcPr>
            <w:tcW w:w="24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663" w:name=".amt.D57"/>
            <w:bookmarkStart w:id="664" w:name=".amt.D58"/>
            <w:bookmarkEnd w:id="663"/>
            <w:bookmarkEnd w:id="664"/>
          </w:p>
        </w:tc>
        <w:tc>
          <w:tcPr>
            <w:tcW w:w="21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535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0"/>
              <w:ind w:left="0" w:right="0" w:hanging="0"/>
              <w:jc w:val="left"/>
              <w:rPr/>
            </w:pPr>
            <w:r>
              <w:rPr/>
              <w:t> </w:t>
            </w:r>
            <w:bookmarkStart w:id="665" w:name=".amt.D25"/>
            <w:bookmarkStart w:id="666" w:name=".amt.D26"/>
            <w:bookmarkEnd w:id="665"/>
            <w:bookmarkEnd w:id="666"/>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93"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bookmarkStart w:id="667" w:name=".amt.D313"/>
            <w:bookmarkStart w:id="668" w:name=".amt.D314"/>
            <w:bookmarkEnd w:id="667"/>
            <w:bookmarkEnd w:id="668"/>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669" w:name=".amt.D43"/>
            <w:bookmarkStart w:id="670" w:name=".amt.D44"/>
            <w:bookmarkEnd w:id="669"/>
            <w:bookmarkEnd w:id="670"/>
          </w:p>
        </w:tc>
        <w:tc>
          <w:tcPr>
            <w:tcW w:w="10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bookmarkStart w:id="671" w:name=".amt.D59"/>
            <w:bookmarkStart w:id="672" w:name=".amt.D510"/>
            <w:bookmarkEnd w:id="671"/>
            <w:bookmarkEnd w:id="672"/>
          </w:p>
        </w:tc>
        <w:tc>
          <w:tcPr>
            <w:tcW w:w="10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535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vAlign w:val="center"/>
          </w:tcPr>
          <w:p>
            <w:pPr>
              <w:pStyle w:val="TableContents"/>
              <w:bidi w:val="0"/>
              <w:spacing w:before="0" w:after="0"/>
              <w:ind w:left="0" w:right="0" w:hanging="0"/>
              <w:jc w:val="left"/>
              <w:rPr/>
            </w:pPr>
            <w:r>
              <w:rPr/>
              <w:t> </w:t>
            </w:r>
            <w:bookmarkStart w:id="673" w:name=".symb.217"/>
            <w:bookmarkStart w:id="674" w:name=".symb.218"/>
            <w:bookmarkEnd w:id="673"/>
            <w:bookmarkEnd w:id="674"/>
          </w:p>
        </w:tc>
        <w:tc>
          <w:tcPr>
            <w:tcW w:w="19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75" w:name=".amt.2111"/>
            <w:bookmarkStart w:id="676" w:name=".amt.2112"/>
            <w:bookmarkEnd w:id="675"/>
            <w:bookmarkEnd w:id="676"/>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30,546</w:t>
            </w:r>
          </w:p>
        </w:tc>
        <w:tc>
          <w:tcPr>
            <w:tcW w:w="93"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bookmarkStart w:id="677" w:name=".symb.317"/>
            <w:bookmarkStart w:id="678" w:name=".symb.318"/>
            <w:bookmarkEnd w:id="677"/>
            <w:bookmarkEnd w:id="678"/>
          </w:p>
        </w:tc>
        <w:tc>
          <w:tcPr>
            <w:tcW w:w="19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79" w:name=".amt.3111"/>
            <w:bookmarkStart w:id="680" w:name=".amt.3112"/>
            <w:bookmarkEnd w:id="679"/>
            <w:bookmarkEnd w:id="680"/>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16,080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681" w:name=".symb.413"/>
            <w:bookmarkStart w:id="682" w:name=".symb.414"/>
            <w:bookmarkEnd w:id="681"/>
            <w:bookmarkEnd w:id="682"/>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83" w:name=".amt.451"/>
            <w:bookmarkStart w:id="684" w:name=".amt.452"/>
            <w:bookmarkEnd w:id="683"/>
            <w:bookmarkEnd w:id="684"/>
          </w:p>
        </w:tc>
        <w:tc>
          <w:tcPr>
            <w:tcW w:w="8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56,411</w:t>
            </w:r>
          </w:p>
        </w:tc>
        <w:tc>
          <w:tcPr>
            <w:tcW w:w="85"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bookmarkStart w:id="685" w:name=".symb.513"/>
            <w:bookmarkStart w:id="686" w:name=".symb.514"/>
            <w:bookmarkEnd w:id="685"/>
            <w:bookmarkEnd w:id="686"/>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87" w:name=".amt.551"/>
            <w:bookmarkStart w:id="688" w:name=".amt.552"/>
            <w:bookmarkEnd w:id="687"/>
            <w:bookmarkEnd w:id="688"/>
          </w:p>
        </w:tc>
        <w:tc>
          <w:tcPr>
            <w:tcW w:w="8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28,740</w:t>
            </w:r>
          </w:p>
        </w:tc>
        <w:tc>
          <w:tcPr>
            <w:tcW w:w="65" w:type="dxa"/>
            <w:tcBorders/>
            <w:shd w:fill="CCEEFF" w:val="clear"/>
            <w:vAlign w:val="center"/>
          </w:tcPr>
          <w:p>
            <w:pPr>
              <w:pStyle w:val="TableContents"/>
              <w:bidi w:val="0"/>
              <w:spacing w:before="0" w:after="0"/>
              <w:ind w:left="0" w:right="0" w:hanging="0"/>
              <w:jc w:val="left"/>
              <w:rPr/>
            </w:pPr>
            <w:r>
              <w:rPr/>
              <w:t> </w:t>
            </w:r>
          </w:p>
        </w:tc>
      </w:tr>
      <w:tr>
        <w:trPr/>
        <w:tc>
          <w:tcPr>
            <w:tcW w:w="535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Cost of revenue (exclusive of depreciation and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9" w:name=".amt.2113"/>
            <w:bookmarkStart w:id="690" w:name=".amt.2114"/>
            <w:bookmarkEnd w:id="689"/>
            <w:bookmarkEnd w:id="690"/>
          </w:p>
        </w:tc>
        <w:tc>
          <w:tcPr>
            <w:tcW w:w="9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22,323</w:t>
            </w:r>
          </w:p>
        </w:tc>
        <w:tc>
          <w:tcPr>
            <w:tcW w:w="93"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91" w:name=".amt.3113"/>
            <w:bookmarkStart w:id="692" w:name=".amt.3114"/>
            <w:bookmarkEnd w:id="691"/>
            <w:bookmarkEnd w:id="692"/>
          </w:p>
        </w:tc>
        <w:tc>
          <w:tcPr>
            <w:tcW w:w="9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93" w:name=".amt.453"/>
            <w:bookmarkStart w:id="694" w:name=".amt.454"/>
            <w:bookmarkEnd w:id="693"/>
            <w:bookmarkEnd w:id="694"/>
          </w:p>
        </w:tc>
        <w:tc>
          <w:tcPr>
            <w:tcW w:w="8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43,181</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95" w:name=".amt.553"/>
            <w:bookmarkStart w:id="696" w:name=".amt.554"/>
            <w:bookmarkEnd w:id="695"/>
            <w:bookmarkEnd w:id="696"/>
          </w:p>
        </w:tc>
        <w:tc>
          <w:tcPr>
            <w:tcW w:w="8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23,048</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5358"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 (exclusive of depreciation and amortization)</w:t>
            </w:r>
          </w:p>
        </w:tc>
        <w:tc>
          <w:tcPr>
            <w:tcW w:w="60" w:type="dxa"/>
            <w:tcBorders/>
            <w:shd w:fill="CCEEFF" w:val="clear"/>
            <w:vAlign w:val="center"/>
          </w:tcPr>
          <w:p>
            <w:pPr>
              <w:pStyle w:val="TableContents"/>
              <w:bidi w:val="0"/>
              <w:spacing w:before="0" w:after="0"/>
              <w:ind w:left="0" w:right="0" w:hanging="0"/>
              <w:jc w:val="left"/>
              <w:rPr/>
            </w:pPr>
            <w:r>
              <w:rPr/>
              <w:t> </w:t>
            </w:r>
            <w:bookmarkStart w:id="697" w:name=".symb.219"/>
            <w:bookmarkStart w:id="698" w:name=".symb.220"/>
            <w:bookmarkEnd w:id="697"/>
            <w:bookmarkEnd w:id="698"/>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99" w:name=".amt.2115"/>
            <w:bookmarkStart w:id="700" w:name=".amt.2116"/>
            <w:bookmarkEnd w:id="699"/>
            <w:bookmarkEnd w:id="700"/>
          </w:p>
        </w:tc>
        <w:tc>
          <w:tcPr>
            <w:tcW w:w="9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8,223</w:t>
            </w:r>
          </w:p>
        </w:tc>
        <w:tc>
          <w:tcPr>
            <w:tcW w:w="93"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bookmarkStart w:id="701" w:name=".symb.319"/>
            <w:bookmarkStart w:id="702" w:name=".symb.320"/>
            <w:bookmarkEnd w:id="701"/>
            <w:bookmarkEnd w:id="702"/>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03" w:name=".amt.3115"/>
            <w:bookmarkStart w:id="704" w:name=".amt.3116"/>
            <w:bookmarkEnd w:id="703"/>
            <w:bookmarkEnd w:id="704"/>
          </w:p>
        </w:tc>
        <w:tc>
          <w:tcPr>
            <w:tcW w:w="9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705" w:name=".symb.415"/>
            <w:bookmarkStart w:id="706" w:name=".symb.416"/>
            <w:bookmarkEnd w:id="705"/>
            <w:bookmarkEnd w:id="706"/>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07" w:name=".amt.455"/>
            <w:bookmarkStart w:id="708" w:name=".amt.456"/>
            <w:bookmarkEnd w:id="707"/>
            <w:bookmarkEnd w:id="708"/>
          </w:p>
        </w:tc>
        <w:tc>
          <w:tcPr>
            <w:tcW w:w="8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13,230</w:t>
            </w:r>
          </w:p>
        </w:tc>
        <w:tc>
          <w:tcPr>
            <w:tcW w:w="85"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bookmarkStart w:id="709" w:name=".symb.515"/>
            <w:bookmarkStart w:id="710" w:name=".symb.516"/>
            <w:bookmarkEnd w:id="709"/>
            <w:bookmarkEnd w:id="710"/>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11" w:name=".amt.555"/>
            <w:bookmarkStart w:id="712" w:name=".amt.556"/>
            <w:bookmarkEnd w:id="711"/>
            <w:bookmarkEnd w:id="712"/>
          </w:p>
        </w:tc>
        <w:tc>
          <w:tcPr>
            <w:tcW w:w="8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5,692</w:t>
            </w:r>
          </w:p>
        </w:tc>
        <w:tc>
          <w:tcPr>
            <w:tcW w:w="65" w:type="dxa"/>
            <w:tcBorders/>
            <w:shd w:fill="CCEEFF" w:val="clear"/>
            <w:vAlign w:val="center"/>
          </w:tcPr>
          <w:p>
            <w:pPr>
              <w:pStyle w:val="TableContents"/>
              <w:bidi w:val="0"/>
              <w:spacing w:before="0" w:after="0"/>
              <w:ind w:left="0" w:right="0" w:hanging="0"/>
              <w:jc w:val="left"/>
              <w:rPr/>
            </w:pPr>
            <w:r>
              <w:rPr/>
              <w:t> </w:t>
            </w:r>
          </w:p>
        </w:tc>
      </w:tr>
      <w:tr>
        <w:trPr/>
        <w:tc>
          <w:tcPr>
            <w:tcW w:w="535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 (exclusive of depreciation and amortization) % of revenue</w:t>
            </w:r>
          </w:p>
        </w:tc>
        <w:tc>
          <w:tcPr>
            <w:tcW w:w="60" w:type="dxa"/>
            <w:tcBorders/>
            <w:shd w:fill="FFFFFF" w:val="clear"/>
            <w:vAlign w:val="center"/>
          </w:tcPr>
          <w:p>
            <w:pPr>
              <w:pStyle w:val="TableContents"/>
              <w:bidi w:val="0"/>
              <w:spacing w:before="0" w:after="0"/>
              <w:ind w:left="0" w:right="0" w:hanging="0"/>
              <w:jc w:val="left"/>
              <w:rPr/>
            </w:pPr>
            <w:r>
              <w:rPr/>
              <w:t> </w:t>
            </w:r>
            <w:bookmarkStart w:id="713" w:name=".symb.221"/>
            <w:bookmarkStart w:id="714" w:name=".symb.222"/>
            <w:bookmarkEnd w:id="713"/>
            <w:bookmarkEnd w:id="714"/>
          </w:p>
        </w:tc>
        <w:tc>
          <w:tcPr>
            <w:tcW w:w="19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5" w:name=".amt.2117"/>
            <w:bookmarkStart w:id="716" w:name=".amt.2118"/>
            <w:bookmarkEnd w:id="715"/>
            <w:bookmarkEnd w:id="716"/>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27%</w:t>
            </w:r>
          </w:p>
        </w:tc>
        <w:tc>
          <w:tcPr>
            <w:tcW w:w="93"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bookmarkStart w:id="717" w:name=".symb.321"/>
            <w:bookmarkStart w:id="718" w:name=".symb.322"/>
            <w:bookmarkEnd w:id="717"/>
            <w:bookmarkEnd w:id="718"/>
          </w:p>
        </w:tc>
        <w:tc>
          <w:tcPr>
            <w:tcW w:w="19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9" w:name=".amt.3117"/>
            <w:bookmarkStart w:id="720" w:name=".amt.3118"/>
            <w:bookmarkEnd w:id="719"/>
            <w:bookmarkEnd w:id="720"/>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721" w:name=".symb.417"/>
            <w:bookmarkStart w:id="722" w:name=".symb.418"/>
            <w:bookmarkEnd w:id="721"/>
            <w:bookmarkEnd w:id="722"/>
          </w:p>
        </w:tc>
        <w:tc>
          <w:tcPr>
            <w:tcW w:w="1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3" w:name=".amt.457"/>
            <w:bookmarkStart w:id="724" w:name=".amt.458"/>
            <w:bookmarkEnd w:id="723"/>
            <w:bookmarkEnd w:id="724"/>
          </w:p>
        </w:tc>
        <w:tc>
          <w:tcPr>
            <w:tcW w:w="8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23%</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bookmarkStart w:id="725" w:name=".symb.517"/>
            <w:bookmarkStart w:id="726" w:name=".symb.518"/>
            <w:bookmarkEnd w:id="725"/>
            <w:bookmarkEnd w:id="726"/>
          </w:p>
        </w:tc>
        <w:tc>
          <w:tcPr>
            <w:tcW w:w="1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7" w:name=".amt.557"/>
            <w:bookmarkStart w:id="728" w:name=".amt.558"/>
            <w:bookmarkEnd w:id="727"/>
            <w:bookmarkEnd w:id="728"/>
          </w:p>
        </w:tc>
        <w:tc>
          <w:tcPr>
            <w:tcW w:w="8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20%</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53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Non-media cost of revenue</w:t>
            </w:r>
            <w:r>
              <w:rPr>
                <w:rFonts w:ascii="Times New Roman" w:hAnsi="Times New Roman"/>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bookmarkStart w:id="729" w:name=".amt.2119"/>
            <w:bookmarkStart w:id="730" w:name=".amt.2120"/>
            <w:bookmarkEnd w:id="729"/>
            <w:bookmarkEnd w:id="730"/>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2,406</w:t>
            </w:r>
          </w:p>
        </w:tc>
        <w:tc>
          <w:tcPr>
            <w:tcW w:w="93"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bookmarkStart w:id="731" w:name=".amt.3119"/>
            <w:bookmarkStart w:id="732" w:name=".amt.3120"/>
            <w:bookmarkEnd w:id="731"/>
            <w:bookmarkEnd w:id="732"/>
          </w:p>
        </w:tc>
        <w:tc>
          <w:tcPr>
            <w:tcW w:w="9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bookmarkStart w:id="733" w:name=".amt.459"/>
            <w:bookmarkStart w:id="734" w:name=".amt.460"/>
            <w:bookmarkEnd w:id="733"/>
            <w:bookmarkEnd w:id="734"/>
          </w:p>
        </w:tc>
        <w:tc>
          <w:tcPr>
            <w:tcW w:w="8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5,139</w:t>
            </w:r>
          </w:p>
        </w:tc>
        <w:tc>
          <w:tcPr>
            <w:tcW w:w="85"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bookmarkStart w:id="735" w:name=".amt.559"/>
            <w:bookmarkStart w:id="736" w:name=".amt.560"/>
            <w:bookmarkEnd w:id="735"/>
            <w:bookmarkEnd w:id="736"/>
          </w:p>
        </w:tc>
        <w:tc>
          <w:tcPr>
            <w:tcW w:w="8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w:t>
            </w:r>
          </w:p>
        </w:tc>
        <w:tc>
          <w:tcPr>
            <w:tcW w:w="65" w:type="dxa"/>
            <w:tcBorders/>
            <w:shd w:fill="CCEEFF" w:val="clear"/>
            <w:vAlign w:val="center"/>
          </w:tcPr>
          <w:p>
            <w:pPr>
              <w:pStyle w:val="TableContents"/>
              <w:bidi w:val="0"/>
              <w:spacing w:before="0" w:after="0"/>
              <w:ind w:left="0" w:right="0" w:hanging="0"/>
              <w:jc w:val="left"/>
              <w:rPr/>
            </w:pPr>
            <w:r>
              <w:rPr/>
              <w:t> </w:t>
            </w:r>
          </w:p>
        </w:tc>
      </w:tr>
      <w:tr>
        <w:trPr/>
        <w:tc>
          <w:tcPr>
            <w:tcW w:w="535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One-time item</w:t>
            </w:r>
            <w:r>
              <w:rPr>
                <w:rFonts w:ascii="Times New Roman" w:hAnsi="Times New Roman"/>
                <w:caps w:val="false"/>
                <w:smallCaps w:val="false"/>
                <w:position w:val="7"/>
                <w:sz w:val="16"/>
                <w:sz w:val="20"/>
              </w:rPr>
              <w:t>(2)</w:t>
            </w:r>
          </w:p>
        </w:tc>
        <w:tc>
          <w:tcPr>
            <w:tcW w:w="60" w:type="dxa"/>
            <w:tcBorders/>
            <w:shd w:fill="FFFFFF" w:val="clear"/>
            <w:vAlign w:val="center"/>
          </w:tcPr>
          <w:p>
            <w:pPr>
              <w:pStyle w:val="TableContents"/>
              <w:bidi w:val="0"/>
              <w:spacing w:before="0" w:after="0"/>
              <w:ind w:left="0" w:right="0" w:hanging="0"/>
              <w:jc w:val="left"/>
              <w:rPr/>
            </w:pPr>
            <w:r>
              <w:rPr/>
              <w:t> </w:t>
            </w:r>
            <w:bookmarkStart w:id="737" w:name=".symb.223"/>
            <w:bookmarkStart w:id="738" w:name=".symb.224"/>
            <w:bookmarkEnd w:id="737"/>
            <w:bookmarkEnd w:id="738"/>
          </w:p>
        </w:tc>
        <w:tc>
          <w:tcPr>
            <w:tcW w:w="1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39" w:name=".amt.2121"/>
            <w:bookmarkStart w:id="740" w:name=".amt.2122"/>
            <w:bookmarkEnd w:id="739"/>
            <w:bookmarkEnd w:id="740"/>
          </w:p>
        </w:tc>
        <w:tc>
          <w:tcPr>
            <w:tcW w:w="916"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p>
        </w:tc>
        <w:tc>
          <w:tcPr>
            <w:tcW w:w="93"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bookmarkStart w:id="741" w:name=".symb.323"/>
            <w:bookmarkStart w:id="742" w:name=".symb.324"/>
            <w:bookmarkEnd w:id="741"/>
            <w:bookmarkEnd w:id="742"/>
          </w:p>
        </w:tc>
        <w:tc>
          <w:tcPr>
            <w:tcW w:w="1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43" w:name=".amt.3121"/>
            <w:bookmarkStart w:id="744" w:name=".amt.3122"/>
            <w:bookmarkEnd w:id="743"/>
            <w:bookmarkEnd w:id="744"/>
          </w:p>
        </w:tc>
        <w:tc>
          <w:tcPr>
            <w:tcW w:w="916"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745" w:name=".symb.419"/>
            <w:bookmarkStart w:id="746" w:name=".symb.420"/>
            <w:bookmarkEnd w:id="745"/>
            <w:bookmarkEnd w:id="746"/>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47" w:name=".amt.461"/>
            <w:bookmarkStart w:id="748" w:name=".amt.462"/>
            <w:bookmarkEnd w:id="747"/>
            <w:bookmarkEnd w:id="748"/>
          </w:p>
        </w:tc>
        <w:tc>
          <w:tcPr>
            <w:tcW w:w="837"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bookmarkStart w:id="749" w:name=".symb.519"/>
            <w:bookmarkStart w:id="750" w:name=".symb.520"/>
            <w:bookmarkEnd w:id="749"/>
            <w:bookmarkEnd w:id="750"/>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51" w:name=".amt.561"/>
            <w:bookmarkStart w:id="752" w:name=".amt.562"/>
            <w:bookmarkEnd w:id="751"/>
            <w:bookmarkEnd w:id="752"/>
          </w:p>
        </w:tc>
        <w:tc>
          <w:tcPr>
            <w:tcW w:w="837"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5358"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Media margin</w:t>
            </w:r>
          </w:p>
        </w:tc>
        <w:tc>
          <w:tcPr>
            <w:tcW w:w="60" w:type="dxa"/>
            <w:tcBorders/>
            <w:shd w:fill="CCEEFF" w:val="clear"/>
            <w:vAlign w:val="center"/>
          </w:tcPr>
          <w:p>
            <w:pPr>
              <w:pStyle w:val="TableContents"/>
              <w:bidi w:val="0"/>
              <w:spacing w:before="0" w:after="0"/>
              <w:ind w:left="0" w:right="0" w:hanging="0"/>
              <w:jc w:val="left"/>
              <w:rPr/>
            </w:pPr>
            <w:r>
              <w:rPr/>
              <w:t> </w:t>
            </w:r>
            <w:bookmarkStart w:id="753" w:name=".symb.225"/>
            <w:bookmarkStart w:id="754" w:name=".symb.226"/>
            <w:bookmarkEnd w:id="753"/>
            <w:bookmarkEnd w:id="754"/>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55" w:name=".amt.2123"/>
            <w:bookmarkStart w:id="756" w:name=".amt.2124"/>
            <w:bookmarkEnd w:id="755"/>
            <w:bookmarkEnd w:id="756"/>
          </w:p>
        </w:tc>
        <w:tc>
          <w:tcPr>
            <w:tcW w:w="9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10,473</w:t>
            </w:r>
          </w:p>
        </w:tc>
        <w:tc>
          <w:tcPr>
            <w:tcW w:w="93"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bookmarkStart w:id="757" w:name=".symb.325"/>
            <w:bookmarkStart w:id="758" w:name=".symb.326"/>
            <w:bookmarkEnd w:id="757"/>
            <w:bookmarkEnd w:id="758"/>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59" w:name=".amt.3123"/>
            <w:bookmarkStart w:id="760" w:name=".amt.3124"/>
            <w:bookmarkEnd w:id="759"/>
            <w:bookmarkEnd w:id="760"/>
          </w:p>
        </w:tc>
        <w:tc>
          <w:tcPr>
            <w:tcW w:w="9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761" w:name=".symb.421"/>
            <w:bookmarkStart w:id="762" w:name=".symb.422"/>
            <w:bookmarkEnd w:id="761"/>
            <w:bookmarkEnd w:id="762"/>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63" w:name=".amt.463"/>
            <w:bookmarkStart w:id="764" w:name=".amt.464"/>
            <w:bookmarkEnd w:id="763"/>
            <w:bookmarkEnd w:id="764"/>
          </w:p>
        </w:tc>
        <w:tc>
          <w:tcPr>
            <w:tcW w:w="8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18,213</w:t>
            </w:r>
          </w:p>
        </w:tc>
        <w:tc>
          <w:tcPr>
            <w:tcW w:w="85"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bookmarkStart w:id="765" w:name=".symb.521"/>
            <w:bookmarkStart w:id="766" w:name=".symb.522"/>
            <w:bookmarkEnd w:id="765"/>
            <w:bookmarkEnd w:id="766"/>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67" w:name=".amt.563"/>
            <w:bookmarkStart w:id="768" w:name=".amt.564"/>
            <w:bookmarkEnd w:id="767"/>
            <w:bookmarkEnd w:id="768"/>
          </w:p>
        </w:tc>
        <w:tc>
          <w:tcPr>
            <w:tcW w:w="8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6,328</w:t>
            </w:r>
          </w:p>
        </w:tc>
        <w:tc>
          <w:tcPr>
            <w:tcW w:w="65" w:type="dxa"/>
            <w:tcBorders/>
            <w:shd w:fill="CCEEFF" w:val="clear"/>
            <w:vAlign w:val="center"/>
          </w:tcPr>
          <w:p>
            <w:pPr>
              <w:pStyle w:val="TableContents"/>
              <w:bidi w:val="0"/>
              <w:spacing w:before="0" w:after="0"/>
              <w:ind w:left="0" w:right="0" w:hanging="0"/>
              <w:jc w:val="left"/>
              <w:rPr/>
            </w:pPr>
            <w:r>
              <w:rPr/>
              <w:t> </w:t>
            </w:r>
          </w:p>
        </w:tc>
      </w:tr>
      <w:tr>
        <w:trPr/>
        <w:tc>
          <w:tcPr>
            <w:tcW w:w="535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Media margin % of revenue</w:t>
            </w:r>
          </w:p>
        </w:tc>
        <w:tc>
          <w:tcPr>
            <w:tcW w:w="60" w:type="dxa"/>
            <w:tcBorders/>
            <w:shd w:fill="FFFFFF" w:val="clear"/>
            <w:vAlign w:val="center"/>
          </w:tcPr>
          <w:p>
            <w:pPr>
              <w:pStyle w:val="TableContents"/>
              <w:bidi w:val="0"/>
              <w:spacing w:before="0" w:after="0"/>
              <w:ind w:left="0" w:right="0" w:hanging="0"/>
              <w:jc w:val="left"/>
              <w:rPr/>
            </w:pPr>
            <w:r>
              <w:rPr/>
              <w:t> </w:t>
            </w:r>
            <w:bookmarkStart w:id="769" w:name=".symb.227"/>
            <w:bookmarkStart w:id="770" w:name=".symb.228"/>
            <w:bookmarkEnd w:id="769"/>
            <w:bookmarkEnd w:id="770"/>
          </w:p>
        </w:tc>
        <w:tc>
          <w:tcPr>
            <w:tcW w:w="19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71" w:name=".amt.2125"/>
            <w:bookmarkStart w:id="772" w:name=".amt.2126"/>
            <w:bookmarkEnd w:id="771"/>
            <w:bookmarkEnd w:id="772"/>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34.3%</w:t>
            </w:r>
          </w:p>
        </w:tc>
        <w:tc>
          <w:tcPr>
            <w:tcW w:w="93"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bookmarkStart w:id="773" w:name=".symb.327"/>
            <w:bookmarkStart w:id="774" w:name=".symb.328"/>
            <w:bookmarkEnd w:id="773"/>
            <w:bookmarkEnd w:id="774"/>
          </w:p>
        </w:tc>
        <w:tc>
          <w:tcPr>
            <w:tcW w:w="19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75" w:name=".amt.3125"/>
            <w:bookmarkStart w:id="776" w:name=".amt.3126"/>
            <w:bookmarkEnd w:id="775"/>
            <w:bookmarkEnd w:id="776"/>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777" w:name=".symb.423"/>
            <w:bookmarkStart w:id="778" w:name=".symb.424"/>
            <w:bookmarkEnd w:id="777"/>
            <w:bookmarkEnd w:id="778"/>
          </w:p>
        </w:tc>
        <w:tc>
          <w:tcPr>
            <w:tcW w:w="1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79" w:name=".amt.465"/>
            <w:bookmarkStart w:id="780" w:name=".amt.466"/>
            <w:bookmarkEnd w:id="779"/>
            <w:bookmarkEnd w:id="780"/>
          </w:p>
        </w:tc>
        <w:tc>
          <w:tcPr>
            <w:tcW w:w="8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32.3%</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bookmarkStart w:id="781" w:name=".symb.523"/>
            <w:bookmarkStart w:id="782" w:name=".symb.524"/>
            <w:bookmarkEnd w:id="781"/>
            <w:bookmarkEnd w:id="782"/>
          </w:p>
        </w:tc>
        <w:tc>
          <w:tcPr>
            <w:tcW w:w="1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83" w:name=".amt.565"/>
            <w:bookmarkStart w:id="784" w:name=".amt.566"/>
            <w:bookmarkEnd w:id="783"/>
            <w:bookmarkEnd w:id="784"/>
          </w:p>
        </w:tc>
        <w:tc>
          <w:tcPr>
            <w:tcW w:w="8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22.0%</w:t>
            </w:r>
          </w:p>
        </w:tc>
        <w:tc>
          <w:tcPr>
            <w:tcW w:w="6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position w:val="7"/>
          <w:sz w:val="16"/>
          <w:sz w:val="20"/>
        </w:rPr>
        <w:t>(1)</w:t>
      </w:r>
      <w:r>
        <w:rPr>
          <w:rFonts w:ascii="Times New Roman;Times;serif" w:hAnsi="Times New Roman;Times;serif"/>
          <w:sz w:val="20"/>
        </w:rPr>
        <w:t xml:space="preserve"> Represents the portion of cost of revenue (exclusive of depreciation and amortization) not attributable to variable costs paid for media and related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position w:val="7"/>
          <w:sz w:val="16"/>
          <w:sz w:val="20"/>
        </w:rPr>
        <w:t>(2)</w:t>
      </w:r>
      <w:r>
        <w:rPr>
          <w:rFonts w:ascii="Times New Roman;Times;serif" w:hAnsi="Times New Roman;Times;serif"/>
          <w:sz w:val="20"/>
        </w:rPr>
        <w:t xml:space="preserve"> Includes a one-time non-media revenue adjustment of ($156) in connection with a settlement with a media partner.</w:t>
      </w:r>
    </w:p>
    <w:p>
      <w:pPr>
        <w:pStyle w:val="TextBody"/>
        <w:bidi w:val="0"/>
        <w:spacing w:before="0" w:after="0"/>
        <w:ind w:left="0" w:right="144"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Below is a reconciliation of adjusted EBITDA from net loss, which we believe is the most directly comparable U.S. GAAP measure.</w:t>
      </w:r>
    </w:p>
    <w:p>
      <w:pPr>
        <w:pStyle w:val="TextBody"/>
        <w:bidi w:val="0"/>
        <w:spacing w:before="0" w:after="0"/>
        <w:ind w:left="0"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5095"/>
        <w:gridCol w:w="60"/>
        <w:gridCol w:w="213"/>
        <w:gridCol w:w="933"/>
        <w:gridCol w:w="136"/>
        <w:gridCol w:w="101"/>
        <w:gridCol w:w="213"/>
        <w:gridCol w:w="933"/>
        <w:gridCol w:w="80"/>
        <w:gridCol w:w="60"/>
        <w:gridCol w:w="169"/>
        <w:gridCol w:w="883"/>
        <w:gridCol w:w="107"/>
        <w:gridCol w:w="80"/>
        <w:gridCol w:w="169"/>
        <w:gridCol w:w="883"/>
        <w:gridCol w:w="90"/>
      </w:tblGrid>
      <w:tr>
        <w:trPr/>
        <w:tc>
          <w:tcPr>
            <w:tcW w:w="50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785" w:name=".amt.D315"/>
            <w:bookmarkStart w:id="786" w:name=".amt.D316"/>
            <w:bookmarkEnd w:id="785"/>
            <w:bookmarkEnd w:id="786"/>
          </w:p>
        </w:tc>
        <w:tc>
          <w:tcPr>
            <w:tcW w:w="25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787" w:name=".amt.D511"/>
            <w:bookmarkStart w:id="788" w:name=".amt.D512"/>
            <w:bookmarkEnd w:id="787"/>
            <w:bookmarkEnd w:id="788"/>
          </w:p>
        </w:tc>
        <w:tc>
          <w:tcPr>
            <w:tcW w:w="229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bookmarkStart w:id="789" w:name=".amt.D27"/>
            <w:bookmarkStart w:id="790" w:name=".amt.D28"/>
            <w:bookmarkEnd w:id="789"/>
            <w:bookmarkEnd w:id="790"/>
          </w:p>
        </w:tc>
        <w:tc>
          <w:tcPr>
            <w:tcW w:w="11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36"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bookmarkStart w:id="791" w:name=".amt.D317"/>
            <w:bookmarkStart w:id="792" w:name=".amt.D318"/>
            <w:bookmarkEnd w:id="791"/>
            <w:bookmarkEnd w:id="792"/>
          </w:p>
        </w:tc>
        <w:tc>
          <w:tcPr>
            <w:tcW w:w="11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793" w:name=".amt.D45"/>
            <w:bookmarkStart w:id="794" w:name=".amt.D46"/>
            <w:bookmarkEnd w:id="793"/>
            <w:bookmarkEnd w:id="794"/>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bookmarkStart w:id="795" w:name=".amt.D513"/>
            <w:bookmarkStart w:id="796" w:name=".amt.D514"/>
            <w:bookmarkEnd w:id="795"/>
            <w:bookmarkEnd w:id="796"/>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bookmarkStart w:id="797" w:name=".symb.229"/>
            <w:bookmarkStart w:id="798" w:name=".symb.230"/>
            <w:bookmarkEnd w:id="797"/>
            <w:bookmarkEnd w:id="798"/>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99" w:name=".amt.2127"/>
            <w:bookmarkStart w:id="800" w:name=".amt.2128"/>
            <w:bookmarkEnd w:id="799"/>
            <w:bookmarkEnd w:id="800"/>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(6,177</w:t>
            </w:r>
            <w:bookmarkStart w:id="801" w:name=".trail.239"/>
            <w:bookmarkStart w:id="802" w:name=".trail.240"/>
            <w:bookmarkEnd w:id="801"/>
            <w:bookmarkEnd w:id="802"/>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0"/>
              <w:ind w:left="0" w:right="0" w:hanging="0"/>
              <w:jc w:val="left"/>
              <w:rPr/>
            </w:pPr>
            <w:r>
              <w:rPr/>
              <w:t> </w:t>
            </w:r>
            <w:bookmarkStart w:id="803" w:name=".symb.329"/>
            <w:bookmarkStart w:id="804" w:name=".symb.330"/>
            <w:bookmarkEnd w:id="803"/>
            <w:bookmarkEnd w:id="804"/>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05" w:name=".amt.3127"/>
            <w:bookmarkStart w:id="806" w:name=".amt.3128"/>
            <w:bookmarkEnd w:id="805"/>
            <w:bookmarkEnd w:id="806"/>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(7,223</w:t>
            </w:r>
            <w:bookmarkStart w:id="807" w:name=".trail.341"/>
            <w:bookmarkStart w:id="808" w:name=".trail.342"/>
            <w:bookmarkEnd w:id="807"/>
            <w:bookmarkEnd w:id="80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809" w:name=".symb.425"/>
            <w:bookmarkStart w:id="810" w:name=".symb.426"/>
            <w:bookmarkEnd w:id="809"/>
            <w:bookmarkEnd w:id="810"/>
          </w:p>
        </w:tc>
        <w:tc>
          <w:tcPr>
            <w:tcW w:w="1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11" w:name=".amt.467"/>
            <w:bookmarkStart w:id="812" w:name=".amt.468"/>
            <w:bookmarkEnd w:id="811"/>
            <w:bookmarkEnd w:id="812"/>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(11,531</w:t>
            </w:r>
            <w:bookmarkStart w:id="813" w:name=".trail.421"/>
            <w:bookmarkStart w:id="814" w:name=".trail.422"/>
            <w:bookmarkEnd w:id="813"/>
            <w:bookmarkEnd w:id="814"/>
          </w:p>
        </w:tc>
        <w:tc>
          <w:tcPr>
            <w:tcW w:w="1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bookmarkStart w:id="815" w:name=".symb.525"/>
            <w:bookmarkStart w:id="816" w:name=".symb.526"/>
            <w:bookmarkEnd w:id="815"/>
            <w:bookmarkEnd w:id="816"/>
          </w:p>
        </w:tc>
        <w:tc>
          <w:tcPr>
            <w:tcW w:w="1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17" w:name=".amt.567"/>
            <w:bookmarkStart w:id="818" w:name=".amt.568"/>
            <w:bookmarkEnd w:id="817"/>
            <w:bookmarkEnd w:id="818"/>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(15,492</w:t>
            </w:r>
            <w:bookmarkStart w:id="819" w:name=".trail.519"/>
            <w:bookmarkStart w:id="820" w:name=".trail.520"/>
            <w:bookmarkEnd w:id="819"/>
            <w:bookmarkEnd w:id="820"/>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bookmarkStart w:id="821" w:name=".amt.2129"/>
            <w:bookmarkStart w:id="822" w:name=".amt.2130"/>
            <w:bookmarkEnd w:id="821"/>
            <w:bookmarkEnd w:id="822"/>
          </w:p>
        </w:tc>
        <w:tc>
          <w:tcPr>
            <w:tcW w:w="9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36"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bookmarkStart w:id="823" w:name=".amt.3129"/>
            <w:bookmarkStart w:id="824" w:name=".amt.3130"/>
            <w:bookmarkEnd w:id="823"/>
            <w:bookmarkEnd w:id="824"/>
          </w:p>
        </w:tc>
        <w:tc>
          <w:tcPr>
            <w:tcW w:w="9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bookmarkStart w:id="825" w:name=".amt.469"/>
            <w:bookmarkStart w:id="826" w:name=".amt.470"/>
            <w:bookmarkEnd w:id="825"/>
            <w:bookmarkEnd w:id="826"/>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0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bookmarkStart w:id="827" w:name=".amt.569"/>
            <w:bookmarkStart w:id="828" w:name=".amt.570"/>
            <w:bookmarkEnd w:id="827"/>
            <w:bookmarkEnd w:id="828"/>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bookmarkStart w:id="829" w:name=".amt.2131"/>
            <w:bookmarkStart w:id="830" w:name=".amt.2132"/>
            <w:bookmarkEnd w:id="829"/>
            <w:bookmarkEnd w:id="830"/>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w:t>
            </w:r>
          </w:p>
        </w:tc>
        <w:tc>
          <w:tcPr>
            <w:tcW w:w="136"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bookmarkStart w:id="831" w:name=".amt.3131"/>
            <w:bookmarkStart w:id="832" w:name=".amt.3132"/>
            <w:bookmarkEnd w:id="831"/>
            <w:bookmarkEnd w:id="832"/>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bookmarkStart w:id="833" w:name=".amt.471"/>
            <w:bookmarkStart w:id="834" w:name=".amt.472"/>
            <w:bookmarkEnd w:id="833"/>
            <w:bookmarkEnd w:id="834"/>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1,242</w:t>
            </w:r>
          </w:p>
        </w:tc>
        <w:tc>
          <w:tcPr>
            <w:tcW w:w="10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bookmarkStart w:id="835" w:name=".amt.571"/>
            <w:bookmarkStart w:id="836" w:name=".amt.572"/>
            <w:bookmarkEnd w:id="835"/>
            <w:bookmarkEnd w:id="836"/>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1,582</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bookmarkStart w:id="837" w:name=".amt.2133"/>
            <w:bookmarkStart w:id="838" w:name=".amt.2134"/>
            <w:bookmarkEnd w:id="837"/>
            <w:bookmarkEnd w:id="838"/>
          </w:p>
        </w:tc>
        <w:tc>
          <w:tcPr>
            <w:tcW w:w="9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1,710</w:t>
            </w:r>
          </w:p>
        </w:tc>
        <w:tc>
          <w:tcPr>
            <w:tcW w:w="136"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bookmarkStart w:id="839" w:name=".amt.3133"/>
            <w:bookmarkStart w:id="840" w:name=".amt.3134"/>
            <w:bookmarkEnd w:id="839"/>
            <w:bookmarkEnd w:id="840"/>
          </w:p>
        </w:tc>
        <w:tc>
          <w:tcPr>
            <w:tcW w:w="9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bookmarkStart w:id="841" w:name=".amt.473"/>
            <w:bookmarkStart w:id="842" w:name=".amt.474"/>
            <w:bookmarkEnd w:id="841"/>
            <w:bookmarkEnd w:id="842"/>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3,391</w:t>
            </w:r>
          </w:p>
        </w:tc>
        <w:tc>
          <w:tcPr>
            <w:tcW w:w="10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bookmarkStart w:id="843" w:name=".amt.573"/>
            <w:bookmarkStart w:id="844" w:name=".amt.574"/>
            <w:bookmarkEnd w:id="843"/>
            <w:bookmarkEnd w:id="844"/>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4,940</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bookmarkStart w:id="845" w:name=".amt.2135"/>
            <w:bookmarkStart w:id="846" w:name=".amt.2136"/>
            <w:bookmarkEnd w:id="845"/>
            <w:bookmarkEnd w:id="846"/>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1,838</w:t>
            </w:r>
          </w:p>
        </w:tc>
        <w:tc>
          <w:tcPr>
            <w:tcW w:w="136"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bookmarkStart w:id="847" w:name=".amt.3135"/>
            <w:bookmarkStart w:id="848" w:name=".amt.3136"/>
            <w:bookmarkEnd w:id="847"/>
            <w:bookmarkEnd w:id="848"/>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bookmarkStart w:id="849" w:name=".amt.475"/>
            <w:bookmarkStart w:id="850" w:name=".amt.476"/>
            <w:bookmarkEnd w:id="849"/>
            <w:bookmarkEnd w:id="850"/>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2,792</w:t>
            </w:r>
          </w:p>
        </w:tc>
        <w:tc>
          <w:tcPr>
            <w:tcW w:w="10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bookmarkStart w:id="851" w:name=".amt.575"/>
            <w:bookmarkStart w:id="852" w:name=".amt.576"/>
            <w:bookmarkEnd w:id="851"/>
            <w:bookmarkEnd w:id="852"/>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on disposal of assets</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bookmarkStart w:id="853" w:name=".amt.2137"/>
            <w:bookmarkStart w:id="854" w:name=".amt.2138"/>
            <w:bookmarkEnd w:id="853"/>
            <w:bookmarkEnd w:id="854"/>
          </w:p>
        </w:tc>
        <w:tc>
          <w:tcPr>
            <w:tcW w:w="933" w:type="dxa"/>
            <w:tcBorders/>
            <w:shd w:fill="FFFFFF" w:val="clear"/>
            <w:vAlign w:val="center"/>
          </w:tcPr>
          <w:p>
            <w:pPr>
              <w:pStyle w:val="TableContents"/>
              <w:bidi w:val="0"/>
              <w:spacing w:before="0" w:after="283"/>
              <w:ind w:left="0" w:right="0" w:hanging="0"/>
              <w:jc w:val="right"/>
              <w:rPr/>
            </w:pPr>
            <w:r>
              <w:rPr/>
              <w:t>—</w:t>
            </w:r>
          </w:p>
        </w:tc>
        <w:tc>
          <w:tcPr>
            <w:tcW w:w="136"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bookmarkStart w:id="855" w:name=".amt.3137"/>
            <w:bookmarkStart w:id="856" w:name=".amt.3138"/>
            <w:bookmarkEnd w:id="855"/>
            <w:bookmarkEnd w:id="856"/>
          </w:p>
        </w:tc>
        <w:tc>
          <w:tcPr>
            <w:tcW w:w="93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bookmarkStart w:id="857" w:name=".amt.477"/>
            <w:bookmarkStart w:id="858" w:name=".amt.478"/>
            <w:bookmarkEnd w:id="857"/>
            <w:bookmarkEnd w:id="858"/>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0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bookmarkStart w:id="859" w:name=".amt.577"/>
            <w:bookmarkStart w:id="860" w:name=".amt.578"/>
            <w:bookmarkEnd w:id="859"/>
            <w:bookmarkEnd w:id="860"/>
          </w:p>
        </w:tc>
        <w:tc>
          <w:tcPr>
            <w:tcW w:w="883"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of Convertible Notes with related parties</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bookmarkStart w:id="861" w:name=".amt.2139"/>
            <w:bookmarkStart w:id="862" w:name=".amt.2140"/>
            <w:bookmarkEnd w:id="861"/>
            <w:bookmarkEnd w:id="862"/>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w:t>
            </w:r>
          </w:p>
        </w:tc>
        <w:tc>
          <w:tcPr>
            <w:tcW w:w="136"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bookmarkStart w:id="863" w:name=".amt.3139"/>
            <w:bookmarkStart w:id="864" w:name=".amt.3140"/>
            <w:bookmarkEnd w:id="863"/>
            <w:bookmarkEnd w:id="864"/>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bookmarkStart w:id="865" w:name=".amt.479"/>
            <w:bookmarkStart w:id="866" w:name=".amt.480"/>
            <w:bookmarkEnd w:id="865"/>
            <w:bookmarkEnd w:id="866"/>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1,421</w:t>
            </w:r>
          </w:p>
        </w:tc>
        <w:tc>
          <w:tcPr>
            <w:tcW w:w="10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bookmarkStart w:id="867" w:name=".amt.579"/>
            <w:bookmarkStart w:id="868" w:name=".amt.580"/>
            <w:bookmarkEnd w:id="867"/>
            <w:bookmarkEnd w:id="868"/>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Acquisition-related costs</w:t>
            </w:r>
            <w:r>
              <w:rPr>
                <w:rFonts w:ascii="Times New Roman" w:hAnsi="Times New Roman"/>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bookmarkStart w:id="869" w:name=".amt.2141"/>
            <w:bookmarkStart w:id="870" w:name=".amt.2142"/>
            <w:bookmarkEnd w:id="869"/>
            <w:bookmarkEnd w:id="870"/>
          </w:p>
        </w:tc>
        <w:tc>
          <w:tcPr>
            <w:tcW w:w="933" w:type="dxa"/>
            <w:tcBorders/>
            <w:shd w:fill="FFFFFF" w:val="clear"/>
            <w:vAlign w:val="center"/>
          </w:tcPr>
          <w:p>
            <w:pPr>
              <w:pStyle w:val="TableContents"/>
              <w:bidi w:val="0"/>
              <w:spacing w:before="0" w:after="283"/>
              <w:ind w:left="0" w:right="0" w:hanging="0"/>
              <w:jc w:val="right"/>
              <w:rPr/>
            </w:pPr>
            <w:r>
              <w:rPr/>
              <w:t>—</w:t>
            </w:r>
          </w:p>
        </w:tc>
        <w:tc>
          <w:tcPr>
            <w:tcW w:w="136"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bookmarkStart w:id="871" w:name=".amt.3141"/>
            <w:bookmarkStart w:id="872" w:name=".amt.3142"/>
            <w:bookmarkEnd w:id="871"/>
            <w:bookmarkEnd w:id="872"/>
          </w:p>
        </w:tc>
        <w:tc>
          <w:tcPr>
            <w:tcW w:w="9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bookmarkStart w:id="873" w:name=".amt.481"/>
            <w:bookmarkStart w:id="874" w:name=".amt.482"/>
            <w:bookmarkEnd w:id="873"/>
            <w:bookmarkEnd w:id="874"/>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(2,352</w:t>
            </w:r>
            <w:bookmarkStart w:id="875" w:name=".trail.423"/>
            <w:bookmarkStart w:id="876" w:name=".trail.424"/>
            <w:bookmarkEnd w:id="875"/>
            <w:bookmarkEnd w:id="876"/>
          </w:p>
        </w:tc>
        <w:tc>
          <w:tcPr>
            <w:tcW w:w="1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bookmarkStart w:id="877" w:name=".amt.581"/>
            <w:bookmarkStart w:id="878" w:name=".amt.582"/>
            <w:bookmarkEnd w:id="877"/>
            <w:bookmarkEnd w:id="878"/>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1,094</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Restructuring and other severance costs</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bookmarkStart w:id="879" w:name=".amt.2143"/>
            <w:bookmarkStart w:id="880" w:name=".amt.2144"/>
            <w:bookmarkEnd w:id="879"/>
            <w:bookmarkEnd w:id="880"/>
          </w:p>
        </w:tc>
        <w:tc>
          <w:tcPr>
            <w:tcW w:w="933" w:type="dxa"/>
            <w:tcBorders/>
            <w:shd w:fill="CCEEFF" w:val="clear"/>
            <w:vAlign w:val="center"/>
          </w:tcPr>
          <w:p>
            <w:pPr>
              <w:pStyle w:val="TableContents"/>
              <w:bidi w:val="0"/>
              <w:spacing w:before="0" w:after="283"/>
              <w:ind w:left="0" w:right="0" w:hanging="0"/>
              <w:jc w:val="right"/>
              <w:rPr/>
            </w:pPr>
            <w:r>
              <w:rPr/>
              <w:t>—</w:t>
            </w:r>
          </w:p>
        </w:tc>
        <w:tc>
          <w:tcPr>
            <w:tcW w:w="136"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bookmarkStart w:id="881" w:name=".amt.3143"/>
            <w:bookmarkStart w:id="882" w:name=".amt.3144"/>
            <w:bookmarkEnd w:id="881"/>
            <w:bookmarkEnd w:id="882"/>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bookmarkStart w:id="883" w:name=".amt.483"/>
            <w:bookmarkStart w:id="884" w:name=".amt.484"/>
            <w:bookmarkEnd w:id="883"/>
            <w:bookmarkEnd w:id="884"/>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0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bookmarkStart w:id="885" w:name=".amt.583"/>
            <w:bookmarkStart w:id="886" w:name=".amt.584"/>
            <w:bookmarkEnd w:id="885"/>
            <w:bookmarkEnd w:id="886"/>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litigation and other related costs</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bookmarkStart w:id="887" w:name=".amt.2145"/>
            <w:bookmarkStart w:id="888" w:name=".amt.2146"/>
            <w:bookmarkEnd w:id="887"/>
            <w:bookmarkEnd w:id="888"/>
          </w:p>
        </w:tc>
        <w:tc>
          <w:tcPr>
            <w:tcW w:w="9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(250)</w:t>
            </w:r>
          </w:p>
        </w:tc>
        <w:tc>
          <w:tcPr>
            <w:tcW w:w="136"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bookmarkStart w:id="889" w:name=".amt.3145"/>
            <w:bookmarkStart w:id="890" w:name=".amt.3146"/>
            <w:bookmarkEnd w:id="889"/>
            <w:bookmarkEnd w:id="890"/>
          </w:p>
        </w:tc>
        <w:tc>
          <w:tcPr>
            <w:tcW w:w="9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bookmarkStart w:id="891" w:name=".amt.485"/>
            <w:bookmarkStart w:id="892" w:name=".amt.486"/>
            <w:bookmarkEnd w:id="891"/>
            <w:bookmarkEnd w:id="892"/>
          </w:p>
        </w:tc>
        <w:tc>
          <w:tcPr>
            <w:tcW w:w="88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(250)</w:t>
            </w:r>
          </w:p>
        </w:tc>
        <w:tc>
          <w:tcPr>
            <w:tcW w:w="10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bookmarkStart w:id="893" w:name=".amt.585"/>
            <w:bookmarkStart w:id="894" w:name=".amt.586"/>
            <w:bookmarkEnd w:id="893"/>
            <w:bookmarkEnd w:id="894"/>
          </w:p>
        </w:tc>
        <w:tc>
          <w:tcPr>
            <w:tcW w:w="88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One-time item</w:t>
            </w:r>
            <w:r>
              <w:rPr>
                <w:rFonts w:ascii="Times New Roman" w:hAnsi="Times New Roman"/>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bookmarkStart w:id="895" w:name=".symb.231"/>
            <w:bookmarkStart w:id="896" w:name=".symb.232"/>
            <w:bookmarkEnd w:id="895"/>
            <w:bookmarkEnd w:id="896"/>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897" w:name=".amt.2147"/>
            <w:bookmarkStart w:id="898" w:name=".amt.2148"/>
            <w:bookmarkEnd w:id="897"/>
            <w:bookmarkEnd w:id="898"/>
          </w:p>
        </w:tc>
        <w:tc>
          <w:tcPr>
            <w:tcW w:w="933"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bookmarkStart w:id="899" w:name=".trail.241"/>
            <w:bookmarkStart w:id="900" w:name=".trail.242"/>
            <w:bookmarkEnd w:id="899"/>
            <w:bookmarkEnd w:id="900"/>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0"/>
              <w:ind w:left="0" w:right="0" w:hanging="0"/>
              <w:jc w:val="left"/>
              <w:rPr/>
            </w:pPr>
            <w:r>
              <w:rPr/>
              <w:t> </w:t>
            </w:r>
            <w:bookmarkStart w:id="901" w:name=".symb.331"/>
            <w:bookmarkStart w:id="902" w:name=".symb.332"/>
            <w:bookmarkEnd w:id="901"/>
            <w:bookmarkEnd w:id="902"/>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03" w:name=".amt.3147"/>
            <w:bookmarkStart w:id="904" w:name=".amt.3148"/>
            <w:bookmarkEnd w:id="903"/>
            <w:bookmarkEnd w:id="904"/>
          </w:p>
        </w:tc>
        <w:tc>
          <w:tcPr>
            <w:tcW w:w="933"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bookmarkStart w:id="905" w:name=".trail.343"/>
            <w:bookmarkStart w:id="906" w:name=".trail.344"/>
            <w:bookmarkEnd w:id="905"/>
            <w:bookmarkEnd w:id="906"/>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907" w:name=".symb.427"/>
            <w:bookmarkStart w:id="908" w:name=".symb.428"/>
            <w:bookmarkEnd w:id="907"/>
            <w:bookmarkEnd w:id="908"/>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09" w:name=".amt.487"/>
            <w:bookmarkStart w:id="910" w:name=".amt.488"/>
            <w:bookmarkEnd w:id="909"/>
            <w:bookmarkEnd w:id="910"/>
          </w:p>
        </w:tc>
        <w:tc>
          <w:tcPr>
            <w:tcW w:w="883"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bookmarkStart w:id="911" w:name=".trail.425"/>
            <w:bookmarkStart w:id="912" w:name=".trail.426"/>
            <w:bookmarkEnd w:id="911"/>
            <w:bookmarkEnd w:id="912"/>
          </w:p>
        </w:tc>
        <w:tc>
          <w:tcPr>
            <w:tcW w:w="1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bookmarkStart w:id="913" w:name=".symb.527"/>
            <w:bookmarkStart w:id="914" w:name=".symb.528"/>
            <w:bookmarkEnd w:id="913"/>
            <w:bookmarkEnd w:id="914"/>
          </w:p>
        </w:tc>
        <w:tc>
          <w:tcPr>
            <w:tcW w:w="169" w:type="dxa"/>
            <w:tcBorders/>
            <w:shd w:fill="CCEEFF" w:val="clear"/>
            <w:vAlign w:val="center"/>
          </w:tcPr>
          <w:p>
            <w:pPr>
              <w:pStyle w:val="TableContents"/>
              <w:bidi w:val="0"/>
              <w:spacing w:before="0" w:after="0"/>
              <w:ind w:left="0" w:right="0" w:hanging="0"/>
              <w:jc w:val="left"/>
              <w:rPr/>
            </w:pPr>
            <w:r>
              <w:rPr/>
              <w:t> </w:t>
            </w:r>
            <w:bookmarkStart w:id="915" w:name=".amt.587"/>
            <w:bookmarkStart w:id="916" w:name=".amt.588"/>
            <w:bookmarkEnd w:id="915"/>
            <w:bookmarkEnd w:id="916"/>
          </w:p>
        </w:tc>
        <w:tc>
          <w:tcPr>
            <w:tcW w:w="883"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bookmarkStart w:id="917" w:name=".trail.521"/>
            <w:bookmarkStart w:id="918" w:name=".trail.522"/>
            <w:bookmarkEnd w:id="917"/>
            <w:bookmarkEnd w:id="918"/>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EBITDA</w:t>
            </w:r>
          </w:p>
        </w:tc>
        <w:tc>
          <w:tcPr>
            <w:tcW w:w="60" w:type="dxa"/>
            <w:tcBorders/>
            <w:shd w:fill="FFFFFF" w:val="clear"/>
            <w:vAlign w:val="center"/>
          </w:tcPr>
          <w:p>
            <w:pPr>
              <w:pStyle w:val="TableContents"/>
              <w:bidi w:val="0"/>
              <w:spacing w:before="0" w:after="0"/>
              <w:ind w:left="0" w:right="0" w:hanging="0"/>
              <w:jc w:val="left"/>
              <w:rPr/>
            </w:pPr>
            <w:r>
              <w:rPr/>
              <w:t> </w:t>
            </w:r>
            <w:bookmarkStart w:id="919" w:name=".symb.233"/>
            <w:bookmarkStart w:id="920" w:name=".symb.234"/>
            <w:bookmarkEnd w:id="919"/>
            <w:bookmarkEnd w:id="920"/>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21" w:name=".amt.2149"/>
            <w:bookmarkStart w:id="922" w:name=".amt.2150"/>
            <w:bookmarkEnd w:id="921"/>
            <w:bookmarkEnd w:id="922"/>
          </w:p>
        </w:tc>
        <w:tc>
          <w:tcPr>
            <w:tcW w:w="9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(1,809</w:t>
            </w:r>
            <w:bookmarkStart w:id="923" w:name=".trail.243"/>
            <w:bookmarkStart w:id="924" w:name=".trail.244"/>
            <w:bookmarkEnd w:id="923"/>
            <w:bookmarkEnd w:id="924"/>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0"/>
              <w:ind w:left="0" w:right="0" w:hanging="0"/>
              <w:jc w:val="left"/>
              <w:rPr/>
            </w:pPr>
            <w:r>
              <w:rPr/>
              <w:t> </w:t>
            </w:r>
            <w:bookmarkStart w:id="925" w:name=".symb.333"/>
            <w:bookmarkStart w:id="926" w:name=".symb.334"/>
            <w:bookmarkEnd w:id="925"/>
            <w:bookmarkEnd w:id="926"/>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27" w:name=".amt.3149"/>
            <w:bookmarkStart w:id="928" w:name=".amt.3150"/>
            <w:bookmarkEnd w:id="927"/>
            <w:bookmarkEnd w:id="928"/>
          </w:p>
        </w:tc>
        <w:tc>
          <w:tcPr>
            <w:tcW w:w="9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(2,773</w:t>
            </w:r>
            <w:bookmarkStart w:id="929" w:name=".trail.345"/>
            <w:bookmarkStart w:id="930" w:name=".trail.346"/>
            <w:bookmarkEnd w:id="929"/>
            <w:bookmarkEnd w:id="930"/>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bookmarkStart w:id="931" w:name=".symb.429"/>
            <w:bookmarkStart w:id="932" w:name=".symb.430"/>
            <w:bookmarkEnd w:id="931"/>
            <w:bookmarkEnd w:id="932"/>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33" w:name=".amt.489"/>
            <w:bookmarkStart w:id="934" w:name=".amt.490"/>
            <w:bookmarkEnd w:id="933"/>
            <w:bookmarkEnd w:id="934"/>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(5,370</w:t>
            </w:r>
            <w:bookmarkStart w:id="935" w:name=".trail.427"/>
            <w:bookmarkStart w:id="936" w:name=".trail.428"/>
            <w:bookmarkEnd w:id="935"/>
            <w:bookmarkEnd w:id="936"/>
          </w:p>
        </w:tc>
        <w:tc>
          <w:tcPr>
            <w:tcW w:w="1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0"/>
              <w:ind w:left="0" w:right="0" w:hanging="0"/>
              <w:jc w:val="left"/>
              <w:rPr/>
            </w:pPr>
            <w:r>
              <w:rPr/>
              <w:t> </w:t>
            </w:r>
            <w:bookmarkStart w:id="937" w:name=".symb.529"/>
            <w:bookmarkStart w:id="938" w:name=".symb.530"/>
            <w:bookmarkEnd w:id="937"/>
            <w:bookmarkEnd w:id="938"/>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39" w:name=".amt.589"/>
            <w:bookmarkStart w:id="940" w:name=".amt.590"/>
            <w:bookmarkEnd w:id="939"/>
            <w:bookmarkEnd w:id="940"/>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(5,857</w:t>
            </w:r>
            <w:bookmarkStart w:id="941" w:name=".trail.523"/>
            <w:bookmarkStart w:id="942" w:name=".trail.524"/>
            <w:bookmarkEnd w:id="941"/>
            <w:bookmarkEnd w:id="942"/>
          </w:p>
        </w:tc>
        <w:tc>
          <w:tcPr>
            <w:tcW w:w="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ind w:left="0" w:right="0" w:hanging="0"/>
              <w:jc w:val="left"/>
              <w:rPr>
                <w:rFonts w:ascii="Times New Roman" w:hAnsi="Times New Roman"/>
                <w:caps w:val="false"/>
                <w:smallCaps w:val="false"/>
                <w:position w:val="7"/>
                <w:sz w:val="16"/>
                <w:sz w:val="20"/>
              </w:rPr>
            </w:pPr>
            <w:r>
              <w:rPr>
                <w:rFonts w:ascii="Times New Roman" w:hAnsi="Times New Roman"/>
                <w:caps w:val="false"/>
                <w:smallCaps w:val="false"/>
                <w:position w:val="7"/>
                <w:sz w:val="16"/>
                <w:sz w:val="20"/>
              </w:rPr>
              <w:t>(1)</w:t>
            </w:r>
          </w:p>
        </w:tc>
        <w:tc>
          <w:tcPr>
            <w:tcW w:w="1002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Balance includes gain on the conveyance of the membership interest of Winopoly in January 2026 of $2,352. Balance also includes a $698 write-off of intangibles and related expenses related to the write-off of TAPP Influencers Corp. in May 2025. Additionally, the balance includes compensation expense related to non-compete agreements and earn-out expenses incurred as a result of business combinations. The earn-out expense was </w:t>
            </w:r>
            <w:bookmarkStart w:id="943" w:name="led17422F20256221753208736948"/>
            <w:bookmarkEnd w:id="943"/>
            <w:r>
              <w:rPr>
                <w:rFonts w:ascii="Times New Roman" w:hAnsi="Times New Roman"/>
                <w:caps w:val="false"/>
                <w:smallCaps w:val="false"/>
                <w:sz w:val="20"/>
              </w:rPr>
              <w:t>$0 and </w:t>
            </w:r>
            <w:bookmarkStart w:id="944" w:name="led17422F20256221753208748859"/>
            <w:bookmarkEnd w:id="944"/>
            <w:r>
              <w:rPr>
                <w:rFonts w:ascii="Times New Roman" w:hAnsi="Times New Roman"/>
                <w:caps w:val="false"/>
                <w:smallCaps w:val="false"/>
                <w:sz w:val="20"/>
              </w:rPr>
              <w:t>($9) for the three months ended </w:t>
            </w:r>
            <w:bookmarkStart w:id="945" w:name="led17399F202452417192385307283"/>
            <w:bookmarkEnd w:id="945"/>
            <w:r>
              <w:rPr>
                <w:rFonts w:ascii="Times New Roman" w:hAnsi="Times New Roman"/>
                <w:caps w:val="false"/>
                <w:smallCaps w:val="false"/>
                <w:sz w:val="20"/>
              </w:rPr>
              <w:t>June 30, 2026 and 2025, respectively, and </w:t>
            </w:r>
            <w:bookmarkStart w:id="946" w:name="led28616F202607271785169539088"/>
            <w:bookmarkEnd w:id="946"/>
            <w:r>
              <w:rPr>
                <w:rFonts w:ascii="Times New Roman" w:hAnsi="Times New Roman"/>
                <w:caps w:val="false"/>
                <w:smallCaps w:val="false"/>
                <w:sz w:val="20"/>
              </w:rPr>
              <w:t>$0 and </w:t>
            </w:r>
            <w:bookmarkStart w:id="947" w:name="led28616F202607271785169555104"/>
            <w:bookmarkEnd w:id="947"/>
            <w:r>
              <w:rPr>
                <w:rFonts w:ascii="Times New Roman" w:hAnsi="Times New Roman"/>
                <w:caps w:val="false"/>
                <w:smallCaps w:val="false"/>
                <w:sz w:val="20"/>
              </w:rPr>
              <w:t>($128) for the six months ended </w:t>
            </w:r>
            <w:bookmarkStart w:id="948" w:name="led17399F202452417192385307282"/>
            <w:bookmarkEnd w:id="948"/>
            <w:r>
              <w:rPr>
                <w:rFonts w:ascii="Times New Roman" w:hAnsi="Times New Roman"/>
                <w:caps w:val="false"/>
                <w:smallCaps w:val="false"/>
                <w:sz w:val="20"/>
              </w:rPr>
              <w:t>June 30, 2026 and 2025, respectively, while the non-compete agreements expense was </w:t>
            </w:r>
            <w:bookmarkStart w:id="949" w:name="led17422F20257141755204991215"/>
            <w:bookmarkEnd w:id="949"/>
            <w:r>
              <w:rPr>
                <w:rFonts w:ascii="Times New Roman" w:hAnsi="Times New Roman"/>
                <w:caps w:val="false"/>
                <w:smallCaps w:val="false"/>
                <w:sz w:val="20"/>
              </w:rPr>
              <w:t>$0 and </w:t>
            </w:r>
            <w:bookmarkStart w:id="950" w:name="led17422F20257141755205004139"/>
            <w:bookmarkEnd w:id="950"/>
            <w:r>
              <w:rPr>
                <w:rFonts w:ascii="Times New Roman" w:hAnsi="Times New Roman"/>
                <w:caps w:val="false"/>
                <w:smallCaps w:val="false"/>
                <w:sz w:val="20"/>
              </w:rPr>
              <w:t>$412 for the three months ended </w:t>
            </w:r>
            <w:bookmarkStart w:id="951" w:name="led17399F202452417192385307281"/>
            <w:bookmarkEnd w:id="951"/>
            <w:r>
              <w:rPr>
                <w:rFonts w:ascii="Times New Roman" w:hAnsi="Times New Roman"/>
                <w:caps w:val="false"/>
                <w:smallCaps w:val="false"/>
                <w:sz w:val="20"/>
              </w:rPr>
              <w:t>June 30, 2026 and 2025, respectively, and </w:t>
            </w:r>
            <w:bookmarkStart w:id="952" w:name="led28616F202607271785169596207"/>
            <w:bookmarkEnd w:id="952"/>
            <w:r>
              <w:rPr>
                <w:rFonts w:ascii="Times New Roman" w:hAnsi="Times New Roman"/>
                <w:caps w:val="false"/>
                <w:smallCaps w:val="false"/>
                <w:sz w:val="20"/>
              </w:rPr>
              <w:t>$0 and </w:t>
            </w:r>
            <w:bookmarkStart w:id="953" w:name="led28616F202607271785169601816"/>
            <w:bookmarkEnd w:id="953"/>
            <w:r>
              <w:rPr>
                <w:rFonts w:ascii="Times New Roman" w:hAnsi="Times New Roman"/>
                <w:caps w:val="false"/>
                <w:smallCaps w:val="false"/>
                <w:sz w:val="20"/>
              </w:rPr>
              <w:t>$412 for the six months ended </w:t>
            </w:r>
            <w:bookmarkStart w:id="954" w:name="led17399F20245241719238530728"/>
            <w:bookmarkEnd w:id="954"/>
            <w:r>
              <w:rPr>
                <w:rFonts w:ascii="Times New Roman" w:hAnsi="Times New Roman"/>
                <w:caps w:val="false"/>
                <w:smallCaps w:val="false"/>
                <w:sz w:val="20"/>
              </w:rPr>
              <w:t>June 30, 2026 and 2025, respectively.</w:t>
            </w:r>
          </w:p>
        </w:tc>
      </w:tr>
      <w:tr>
        <w:trPr/>
        <w:tc>
          <w:tcPr>
            <w:tcW w:w="177" w:type="dxa"/>
            <w:tcBorders/>
            <w:vAlign w:val="center"/>
          </w:tcPr>
          <w:p>
            <w:pPr>
              <w:pStyle w:val="TableContents"/>
              <w:bidi w:val="0"/>
              <w:spacing w:before="0" w:after="0"/>
              <w:ind w:left="0" w:right="0" w:hanging="0"/>
              <w:jc w:val="left"/>
              <w:rPr>
                <w:rFonts w:ascii="Times New Roman" w:hAnsi="Times New Roman"/>
                <w:position w:val="7"/>
                <w:sz w:val="16"/>
                <w:sz w:val="20"/>
              </w:rPr>
            </w:pPr>
            <w:r>
              <w:rPr>
                <w:rFonts w:ascii="Times New Roman" w:hAnsi="Times New Roman"/>
                <w:position w:val="7"/>
                <w:sz w:val="16"/>
                <w:sz w:val="20"/>
              </w:rPr>
              <w:t>(2)</w:t>
            </w:r>
          </w:p>
        </w:tc>
        <w:tc>
          <w:tcPr>
            <w:tcW w:w="1002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Includes a one-time non-media revenue adjustment of ($156) in connection with a settlement with a media partner.</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Below is a reconciliation of adjusted net income and the related measure of adjusted net income per share from net income (loss), which we believe is the most directly comparable U.S. GAAP measure.</w:t>
      </w:r>
    </w:p>
    <w:p>
      <w:pPr>
        <w:pStyle w:val="TextBody"/>
        <w:bidi w:val="0"/>
        <w:spacing w:before="0" w:after="0"/>
        <w:ind w:left="0"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5091"/>
        <w:gridCol w:w="60"/>
        <w:gridCol w:w="137"/>
        <w:gridCol w:w="1052"/>
        <w:gridCol w:w="87"/>
        <w:gridCol w:w="65"/>
        <w:gridCol w:w="137"/>
        <w:gridCol w:w="1052"/>
        <w:gridCol w:w="80"/>
        <w:gridCol w:w="60"/>
        <w:gridCol w:w="125"/>
        <w:gridCol w:w="953"/>
        <w:gridCol w:w="80"/>
        <w:gridCol w:w="60"/>
        <w:gridCol w:w="125"/>
        <w:gridCol w:w="953"/>
        <w:gridCol w:w="88"/>
      </w:tblGrid>
      <w:tr>
        <w:trPr/>
        <w:tc>
          <w:tcPr>
            <w:tcW w:w="509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955" w:name=".amt.D319"/>
            <w:bookmarkStart w:id="956" w:name=".amt.D320"/>
            <w:bookmarkEnd w:id="955"/>
            <w:bookmarkEnd w:id="956"/>
          </w:p>
        </w:tc>
        <w:tc>
          <w:tcPr>
            <w:tcW w:w="2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957" w:name=".amt.D515"/>
            <w:bookmarkStart w:id="958" w:name=".amt.D516"/>
            <w:bookmarkEnd w:id="957"/>
            <w:bookmarkEnd w:id="958"/>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tc>
        <w:tc>
          <w:tcPr>
            <w:tcW w:w="60" w:type="dxa"/>
            <w:tcBorders/>
            <w:shd w:fill="FFFFFF" w:val="clear"/>
            <w:vAlign w:val="center"/>
          </w:tcPr>
          <w:p>
            <w:pPr>
              <w:pStyle w:val="TableContents"/>
              <w:bidi w:val="0"/>
              <w:spacing w:before="0" w:after="0"/>
              <w:ind w:left="0" w:right="0" w:hanging="0"/>
              <w:jc w:val="left"/>
              <w:rPr/>
            </w:pPr>
            <w:r>
              <w:rPr/>
              <w:t> </w:t>
            </w:r>
            <w:bookmarkStart w:id="959" w:name=".amt.D29"/>
            <w:bookmarkStart w:id="960" w:name=".amt.D210"/>
            <w:bookmarkEnd w:id="959"/>
            <w:bookmarkEnd w:id="960"/>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bookmarkStart w:id="961" w:name=".amt.D321"/>
            <w:bookmarkStart w:id="962" w:name=".amt.D322"/>
            <w:bookmarkEnd w:id="961"/>
            <w:bookmarkEnd w:id="962"/>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963" w:name=".amt.D47"/>
            <w:bookmarkStart w:id="964" w:name=".amt.D48"/>
            <w:bookmarkEnd w:id="963"/>
            <w:bookmarkEnd w:id="964"/>
          </w:p>
        </w:tc>
        <w:tc>
          <w:tcPr>
            <w:tcW w:w="10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965" w:name=".amt.D517"/>
            <w:bookmarkStart w:id="966" w:name=".amt.D518"/>
            <w:bookmarkEnd w:id="965"/>
            <w:bookmarkEnd w:id="966"/>
          </w:p>
        </w:tc>
        <w:tc>
          <w:tcPr>
            <w:tcW w:w="10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bookmarkStart w:id="967" w:name=".symb.235"/>
            <w:bookmarkStart w:id="968" w:name=".symb.236"/>
            <w:bookmarkEnd w:id="967"/>
            <w:bookmarkEnd w:id="968"/>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69" w:name=".amt.2151"/>
            <w:bookmarkStart w:id="970" w:name=".amt.2152"/>
            <w:bookmarkEnd w:id="969"/>
            <w:bookmarkEnd w:id="970"/>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(6,177</w:t>
            </w:r>
            <w:bookmarkStart w:id="971" w:name=".trail.245"/>
            <w:bookmarkStart w:id="972" w:name=".trail.246"/>
            <w:bookmarkEnd w:id="971"/>
            <w:bookmarkEnd w:id="972"/>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bookmarkStart w:id="973" w:name=".symb.335"/>
            <w:bookmarkStart w:id="974" w:name=".symb.336"/>
            <w:bookmarkEnd w:id="973"/>
            <w:bookmarkEnd w:id="974"/>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75" w:name=".amt.3151"/>
            <w:bookmarkStart w:id="976" w:name=".amt.3152"/>
            <w:bookmarkEnd w:id="975"/>
            <w:bookmarkEnd w:id="976"/>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(7,223</w:t>
            </w:r>
            <w:bookmarkStart w:id="977" w:name=".trail.347"/>
            <w:bookmarkStart w:id="978" w:name=".trail.348"/>
            <w:bookmarkEnd w:id="977"/>
            <w:bookmarkEnd w:id="97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979" w:name=".symb.431"/>
            <w:bookmarkStart w:id="980" w:name=".symb.432"/>
            <w:bookmarkEnd w:id="979"/>
            <w:bookmarkEnd w:id="980"/>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81" w:name=".amt.491"/>
            <w:bookmarkStart w:id="982" w:name=".amt.492"/>
            <w:bookmarkEnd w:id="981"/>
            <w:bookmarkEnd w:id="982"/>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(11,531</w:t>
            </w:r>
            <w:bookmarkStart w:id="983" w:name=".trail.429"/>
            <w:bookmarkStart w:id="984" w:name=".trail.430"/>
            <w:bookmarkEnd w:id="983"/>
            <w:bookmarkEnd w:id="98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985" w:name=".symb.531"/>
            <w:bookmarkStart w:id="986" w:name=".symb.532"/>
            <w:bookmarkEnd w:id="985"/>
            <w:bookmarkEnd w:id="986"/>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987" w:name=".amt.591"/>
            <w:bookmarkStart w:id="988" w:name=".amt.592"/>
            <w:bookmarkEnd w:id="987"/>
            <w:bookmarkEnd w:id="988"/>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(15,492</w:t>
            </w:r>
            <w:bookmarkStart w:id="989" w:name=".trail.525"/>
            <w:bookmarkStart w:id="990" w:name=".trail.526"/>
            <w:bookmarkEnd w:id="989"/>
            <w:bookmarkEnd w:id="990"/>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9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bookmarkStart w:id="991" w:name=".amt.2153"/>
            <w:bookmarkStart w:id="992" w:name=".amt.2154"/>
            <w:bookmarkEnd w:id="991"/>
            <w:bookmarkEnd w:id="992"/>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1,838</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bookmarkStart w:id="993" w:name=".amt.3153"/>
            <w:bookmarkStart w:id="994" w:name=".amt.3154"/>
            <w:bookmarkEnd w:id="993"/>
            <w:bookmarkEnd w:id="994"/>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995" w:name=".amt.493"/>
            <w:bookmarkStart w:id="996" w:name=".amt.494"/>
            <w:bookmarkEnd w:id="995"/>
            <w:bookmarkEnd w:id="996"/>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997" w:name=".amt.593"/>
            <w:bookmarkStart w:id="998" w:name=".amt.594"/>
            <w:bookmarkEnd w:id="997"/>
            <w:bookmarkEnd w:id="998"/>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on disposal of assets</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bookmarkStart w:id="999" w:name=".amt.2155"/>
            <w:bookmarkStart w:id="1000" w:name=".amt.2156"/>
            <w:bookmarkEnd w:id="999"/>
            <w:bookmarkEnd w:id="1000"/>
          </w:p>
        </w:tc>
        <w:tc>
          <w:tcPr>
            <w:tcW w:w="1052"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bookmarkStart w:id="1001" w:name=".amt.3155"/>
            <w:bookmarkStart w:id="1002" w:name=".amt.3156"/>
            <w:bookmarkEnd w:id="1001"/>
            <w:bookmarkEnd w:id="1002"/>
          </w:p>
        </w:tc>
        <w:tc>
          <w:tcPr>
            <w:tcW w:w="10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003" w:name=".amt.495"/>
            <w:bookmarkStart w:id="1004" w:name=".amt.496"/>
            <w:bookmarkEnd w:id="1003"/>
            <w:bookmarkEnd w:id="1004"/>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005" w:name=".amt.595"/>
            <w:bookmarkStart w:id="1006" w:name=".amt.596"/>
            <w:bookmarkEnd w:id="1005"/>
            <w:bookmarkEnd w:id="1006"/>
          </w:p>
        </w:tc>
        <w:tc>
          <w:tcPr>
            <w:tcW w:w="953" w:type="dxa"/>
            <w:tcBorders/>
            <w:shd w:fill="CCEEFF" w:val="clear"/>
            <w:vAlign w:val="center"/>
          </w:tcPr>
          <w:p>
            <w:pPr>
              <w:pStyle w:val="TableContents"/>
              <w:bidi w:val="0"/>
              <w:spacing w:before="0" w:after="283"/>
              <w:ind w:left="0" w:right="0" w:hanging="0"/>
              <w:jc w:val="right"/>
              <w:rPr/>
            </w:pPr>
            <w:r>
              <w:rPr/>
              <w:t>—</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509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of Convertible Notes with related parties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bookmarkStart w:id="1007" w:name=".amt.2157"/>
            <w:bookmarkStart w:id="1008" w:name=".amt.2158"/>
            <w:bookmarkEnd w:id="1007"/>
            <w:bookmarkEnd w:id="1008"/>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bookmarkStart w:id="1009" w:name=".amt.3157"/>
            <w:bookmarkStart w:id="1010" w:name=".amt.3158"/>
            <w:bookmarkEnd w:id="1009"/>
            <w:bookmarkEnd w:id="1010"/>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011" w:name=".amt.497"/>
            <w:bookmarkStart w:id="1012" w:name=".amt.498"/>
            <w:bookmarkEnd w:id="1011"/>
            <w:bookmarkEnd w:id="1012"/>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013" w:name=".amt.597"/>
            <w:bookmarkStart w:id="1014" w:name=".amt.598"/>
            <w:bookmarkEnd w:id="1013"/>
            <w:bookmarkEnd w:id="1014"/>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Acquisition-related costs</w:t>
            </w:r>
            <w:r>
              <w:rPr>
                <w:rFonts w:ascii="Times New Roman" w:hAnsi="Times New Roman"/>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bookmarkStart w:id="1015" w:name=".amt.2159"/>
            <w:bookmarkStart w:id="1016" w:name=".amt.2160"/>
            <w:bookmarkEnd w:id="1015"/>
            <w:bookmarkEnd w:id="1016"/>
          </w:p>
        </w:tc>
        <w:tc>
          <w:tcPr>
            <w:tcW w:w="1052"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bookmarkStart w:id="1017" w:name=".amt.3159"/>
            <w:bookmarkStart w:id="1018" w:name=".amt.3160"/>
            <w:bookmarkEnd w:id="1017"/>
            <w:bookmarkEnd w:id="1018"/>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019" w:name=".amt.499"/>
            <w:bookmarkStart w:id="1020" w:name=".amt.4100"/>
            <w:bookmarkEnd w:id="1019"/>
            <w:bookmarkEnd w:id="1020"/>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(2,352</w:t>
            </w:r>
            <w:bookmarkStart w:id="1021" w:name=".trail.431"/>
            <w:bookmarkStart w:id="1022" w:name=".trail.432"/>
            <w:bookmarkEnd w:id="1021"/>
            <w:bookmarkEnd w:id="102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023" w:name=".amt.599"/>
            <w:bookmarkStart w:id="1024" w:name=".amt.5100"/>
            <w:bookmarkEnd w:id="1023"/>
            <w:bookmarkEnd w:id="1024"/>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1,094</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509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Restructuring and other severance costs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bookmarkStart w:id="1025" w:name=".amt.2161"/>
            <w:bookmarkStart w:id="1026" w:name=".amt.2162"/>
            <w:bookmarkEnd w:id="1025"/>
            <w:bookmarkEnd w:id="1026"/>
          </w:p>
        </w:tc>
        <w:tc>
          <w:tcPr>
            <w:tcW w:w="1052"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bookmarkStart w:id="1027" w:name=".amt.3161"/>
            <w:bookmarkStart w:id="1028" w:name=".amt.3162"/>
            <w:bookmarkEnd w:id="1027"/>
            <w:bookmarkEnd w:id="1028"/>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029" w:name=".amt.4101"/>
            <w:bookmarkStart w:id="1030" w:name=".amt.4102"/>
            <w:bookmarkEnd w:id="1029"/>
            <w:bookmarkEnd w:id="1030"/>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031" w:name=".amt.5101"/>
            <w:bookmarkStart w:id="1032" w:name=".amt.5102"/>
            <w:bookmarkEnd w:id="1031"/>
            <w:bookmarkEnd w:id="1032"/>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Certain litigation and other related costs</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bookmarkStart w:id="1033" w:name=".amt.2163"/>
            <w:bookmarkStart w:id="1034" w:name=".amt.2164"/>
            <w:bookmarkEnd w:id="1033"/>
            <w:bookmarkEnd w:id="1034"/>
          </w:p>
        </w:tc>
        <w:tc>
          <w:tcPr>
            <w:tcW w:w="10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(250)</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bookmarkStart w:id="1035" w:name=".amt.3163"/>
            <w:bookmarkStart w:id="1036" w:name=".amt.3164"/>
            <w:bookmarkEnd w:id="1035"/>
            <w:bookmarkEnd w:id="1036"/>
          </w:p>
        </w:tc>
        <w:tc>
          <w:tcPr>
            <w:tcW w:w="10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037" w:name=".amt.4103"/>
            <w:bookmarkStart w:id="1038" w:name=".amt.4104"/>
            <w:bookmarkEnd w:id="1037"/>
            <w:bookmarkEnd w:id="1038"/>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039" w:name=".amt.5103"/>
            <w:bookmarkStart w:id="1040" w:name=".amt.5104"/>
            <w:bookmarkEnd w:id="1039"/>
            <w:bookmarkEnd w:id="1040"/>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5091"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One-time item(2)</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41" w:name=".amt.2165"/>
            <w:bookmarkStart w:id="1042" w:name=".amt.2166"/>
            <w:bookmarkEnd w:id="1041"/>
            <w:bookmarkEnd w:id="1042"/>
          </w:p>
        </w:tc>
        <w:tc>
          <w:tcPr>
            <w:tcW w:w="10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43" w:name=".amt.3165"/>
            <w:bookmarkStart w:id="1044" w:name=".amt.3166"/>
            <w:bookmarkEnd w:id="1043"/>
            <w:bookmarkEnd w:id="1044"/>
          </w:p>
        </w:tc>
        <w:tc>
          <w:tcPr>
            <w:tcW w:w="1052"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45" w:name=".amt.4105"/>
            <w:bookmarkStart w:id="1046" w:name=".amt.4106"/>
            <w:bookmarkEnd w:id="1045"/>
            <w:bookmarkEnd w:id="1046"/>
          </w:p>
        </w:tc>
        <w:tc>
          <w:tcPr>
            <w:tcW w:w="953"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47" w:name=".amt.5105"/>
            <w:bookmarkStart w:id="1048" w:name=".amt.5106"/>
            <w:bookmarkEnd w:id="1047"/>
            <w:bookmarkEnd w:id="1048"/>
          </w:p>
        </w:tc>
        <w:tc>
          <w:tcPr>
            <w:tcW w:w="953"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net loss</w:t>
            </w:r>
          </w:p>
        </w:tc>
        <w:tc>
          <w:tcPr>
            <w:tcW w:w="60" w:type="dxa"/>
            <w:tcBorders/>
            <w:shd w:fill="CCEEFF" w:val="clear"/>
            <w:vAlign w:val="center"/>
          </w:tcPr>
          <w:p>
            <w:pPr>
              <w:pStyle w:val="TableContents"/>
              <w:bidi w:val="0"/>
              <w:spacing w:before="0" w:after="0"/>
              <w:ind w:left="0" w:right="0" w:hanging="0"/>
              <w:jc w:val="left"/>
              <w:rPr/>
            </w:pPr>
            <w:r>
              <w:rPr/>
              <w:t> </w:t>
            </w:r>
            <w:bookmarkStart w:id="1049" w:name=".symb.237"/>
            <w:bookmarkStart w:id="1050" w:name=".symb.238"/>
            <w:bookmarkEnd w:id="1049"/>
            <w:bookmarkEnd w:id="1050"/>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51" w:name=".amt.2167"/>
            <w:bookmarkStart w:id="1052" w:name=".amt.2168"/>
            <w:bookmarkEnd w:id="1051"/>
            <w:bookmarkEnd w:id="1052"/>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(4,161</w:t>
            </w:r>
            <w:bookmarkStart w:id="1053" w:name=".trail.247"/>
            <w:bookmarkStart w:id="1054" w:name=".trail.248"/>
            <w:bookmarkEnd w:id="1053"/>
            <w:bookmarkEnd w:id="1054"/>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bookmarkStart w:id="1055" w:name=".symb.337"/>
            <w:bookmarkStart w:id="1056" w:name=".symb.338"/>
            <w:bookmarkEnd w:id="1055"/>
            <w:bookmarkEnd w:id="1056"/>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57" w:name=".amt.3167"/>
            <w:bookmarkStart w:id="1058" w:name=".amt.3168"/>
            <w:bookmarkEnd w:id="1057"/>
            <w:bookmarkEnd w:id="1058"/>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(5,847</w:t>
            </w:r>
            <w:bookmarkStart w:id="1059" w:name=".trail.349"/>
            <w:bookmarkStart w:id="1060" w:name=".trail.350"/>
            <w:bookmarkEnd w:id="1059"/>
            <w:bookmarkEnd w:id="106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1061" w:name=".symb.433"/>
            <w:bookmarkStart w:id="1062" w:name=".symb.434"/>
            <w:bookmarkEnd w:id="1061"/>
            <w:bookmarkEnd w:id="106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3" w:name=".amt.4107"/>
            <w:bookmarkStart w:id="1064" w:name=".amt.4108"/>
            <w:bookmarkEnd w:id="1063"/>
            <w:bookmarkEnd w:id="1064"/>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(10,011</w:t>
            </w:r>
            <w:bookmarkStart w:id="1065" w:name=".trail.433"/>
            <w:bookmarkStart w:id="1066" w:name=".trail.434"/>
            <w:bookmarkEnd w:id="1065"/>
            <w:bookmarkEnd w:id="106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1067" w:name=".symb.533"/>
            <w:bookmarkStart w:id="1068" w:name=".symb.534"/>
            <w:bookmarkEnd w:id="1067"/>
            <w:bookmarkEnd w:id="106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9" w:name=".amt.5107"/>
            <w:bookmarkStart w:id="1070" w:name=".amt.5108"/>
            <w:bookmarkEnd w:id="1069"/>
            <w:bookmarkEnd w:id="1070"/>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(12,505</w:t>
            </w:r>
            <w:bookmarkStart w:id="1071" w:name=".trail.527"/>
            <w:bookmarkStart w:id="1072" w:name=".trail.528"/>
            <w:bookmarkEnd w:id="1071"/>
            <w:bookmarkEnd w:id="1072"/>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9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net loss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1052"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105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3"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0"/>
              <w:ind w:left="0" w:right="0" w:hanging="0"/>
              <w:jc w:val="left"/>
              <w:rPr/>
            </w:pPr>
            <w:r>
              <w:rPr/>
              <w:t> </w:t>
            </w:r>
            <w:bookmarkStart w:id="1073" w:name=".symb.239"/>
            <w:bookmarkStart w:id="1074" w:name=".symb.240"/>
            <w:bookmarkEnd w:id="1073"/>
            <w:bookmarkEnd w:id="1074"/>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75" w:name=".amt.2169"/>
            <w:bookmarkStart w:id="1076" w:name=".amt.2170"/>
            <w:bookmarkEnd w:id="1075"/>
            <w:bookmarkEnd w:id="1076"/>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(0.13</w:t>
            </w:r>
            <w:bookmarkStart w:id="1077" w:name=".trail.249"/>
            <w:bookmarkStart w:id="1078" w:name=".trail.250"/>
            <w:bookmarkEnd w:id="1077"/>
            <w:bookmarkEnd w:id="1078"/>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bookmarkStart w:id="1079" w:name=".symb.339"/>
            <w:bookmarkStart w:id="1080" w:name=".symb.340"/>
            <w:bookmarkEnd w:id="1079"/>
            <w:bookmarkEnd w:id="1080"/>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81" w:name=".amt.3169"/>
            <w:bookmarkStart w:id="1082" w:name=".amt.3170"/>
            <w:bookmarkEnd w:id="1081"/>
            <w:bookmarkEnd w:id="1082"/>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(0.24</w:t>
            </w:r>
            <w:bookmarkStart w:id="1083" w:name=".trail.351"/>
            <w:bookmarkStart w:id="1084" w:name=".trail.352"/>
            <w:bookmarkEnd w:id="1083"/>
            <w:bookmarkEnd w:id="108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1085" w:name=".symb.435"/>
            <w:bookmarkStart w:id="1086" w:name=".symb.436"/>
            <w:bookmarkEnd w:id="1085"/>
            <w:bookmarkEnd w:id="1086"/>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87" w:name=".amt.4109"/>
            <w:bookmarkStart w:id="1088" w:name=".amt.4110"/>
            <w:bookmarkEnd w:id="1087"/>
            <w:bookmarkEnd w:id="1088"/>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(0.32</w:t>
            </w:r>
            <w:bookmarkStart w:id="1089" w:name=".trail.435"/>
            <w:bookmarkStart w:id="1090" w:name=".trail.436"/>
            <w:bookmarkEnd w:id="1089"/>
            <w:bookmarkEnd w:id="109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1091" w:name=".symb.535"/>
            <w:bookmarkStart w:id="1092" w:name=".symb.536"/>
            <w:bookmarkEnd w:id="1091"/>
            <w:bookmarkEnd w:id="1092"/>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93" w:name=".amt.5109"/>
            <w:bookmarkStart w:id="1094" w:name=".amt.5110"/>
            <w:bookmarkEnd w:id="1093"/>
            <w:bookmarkEnd w:id="1094"/>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(0.55</w:t>
            </w:r>
            <w:bookmarkStart w:id="1095" w:name=".trail.529"/>
            <w:bookmarkStart w:id="1096" w:name=".trail.530"/>
            <w:bookmarkEnd w:id="1095"/>
            <w:bookmarkEnd w:id="1096"/>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9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0"/>
              <w:ind w:left="0" w:right="0" w:hanging="0"/>
              <w:jc w:val="left"/>
              <w:rPr/>
            </w:pPr>
            <w:r>
              <w:rPr/>
              <w:t> </w:t>
            </w:r>
            <w:bookmarkStart w:id="1097" w:name=".symb.241"/>
            <w:bookmarkStart w:id="1098" w:name=".symb.242"/>
            <w:bookmarkEnd w:id="1097"/>
            <w:bookmarkEnd w:id="1098"/>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99" w:name=".amt.2171"/>
            <w:bookmarkStart w:id="1100" w:name=".amt.2172"/>
            <w:bookmarkEnd w:id="1099"/>
            <w:bookmarkEnd w:id="1100"/>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(0.13</w:t>
            </w:r>
            <w:bookmarkStart w:id="1101" w:name=".trail.251"/>
            <w:bookmarkStart w:id="1102" w:name=".trail.252"/>
            <w:bookmarkEnd w:id="1101"/>
            <w:bookmarkEnd w:id="1102"/>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bookmarkStart w:id="1103" w:name=".symb.341"/>
            <w:bookmarkStart w:id="1104" w:name=".symb.342"/>
            <w:bookmarkEnd w:id="1103"/>
            <w:bookmarkEnd w:id="1104"/>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05" w:name=".amt.3171"/>
            <w:bookmarkStart w:id="1106" w:name=".amt.3172"/>
            <w:bookmarkEnd w:id="1105"/>
            <w:bookmarkEnd w:id="1106"/>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(0.24</w:t>
            </w:r>
            <w:bookmarkStart w:id="1107" w:name=".trail.353"/>
            <w:bookmarkStart w:id="1108" w:name=".trail.354"/>
            <w:bookmarkEnd w:id="1107"/>
            <w:bookmarkEnd w:id="1108"/>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bookmarkStart w:id="1109" w:name=".symb.437"/>
            <w:bookmarkStart w:id="1110" w:name=".symb.438"/>
            <w:bookmarkEnd w:id="1109"/>
            <w:bookmarkEnd w:id="1110"/>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11" w:name=".amt.4111"/>
            <w:bookmarkStart w:id="1112" w:name=".amt.4112"/>
            <w:bookmarkEnd w:id="1111"/>
            <w:bookmarkEnd w:id="1112"/>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(0.32</w:t>
            </w:r>
            <w:bookmarkStart w:id="1113" w:name=".trail.437"/>
            <w:bookmarkStart w:id="1114" w:name=".trail.438"/>
            <w:bookmarkEnd w:id="1113"/>
            <w:bookmarkEnd w:id="111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bookmarkStart w:id="1115" w:name=".symb.537"/>
            <w:bookmarkStart w:id="1116" w:name=".symb.538"/>
            <w:bookmarkEnd w:id="1115"/>
            <w:bookmarkEnd w:id="1116"/>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17" w:name=".amt.5111"/>
            <w:bookmarkStart w:id="1118" w:name=".amt.5112"/>
            <w:bookmarkEnd w:id="1117"/>
            <w:bookmarkEnd w:id="1118"/>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(0.55</w:t>
            </w:r>
            <w:bookmarkStart w:id="1119" w:name=".trail.531"/>
            <w:bookmarkStart w:id="1120" w:name=".trail.532"/>
            <w:bookmarkEnd w:id="1119"/>
            <w:bookmarkEnd w:id="1120"/>
          </w:p>
        </w:tc>
        <w:tc>
          <w:tcPr>
            <w:tcW w:w="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9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 average number of shares outstanding:</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509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bookmarkStart w:id="1121" w:name=".amt.2173"/>
            <w:bookmarkStart w:id="1122" w:name=".amt.2174"/>
            <w:bookmarkEnd w:id="1121"/>
            <w:bookmarkEnd w:id="1122"/>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31,544,934</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bookmarkStart w:id="1123" w:name=".amt.3173"/>
            <w:bookmarkStart w:id="1124" w:name=".amt.3174"/>
            <w:bookmarkEnd w:id="1123"/>
            <w:bookmarkEnd w:id="1124"/>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24,061,803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125" w:name=".amt.4113"/>
            <w:bookmarkStart w:id="1126" w:name=".amt.4114"/>
            <w:bookmarkEnd w:id="1125"/>
            <w:bookmarkEnd w:id="1126"/>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31,464,810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127" w:name=".amt.5113"/>
            <w:bookmarkStart w:id="1128" w:name=".amt.5114"/>
            <w:bookmarkEnd w:id="1127"/>
            <w:bookmarkEnd w:id="1128"/>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22,661,951</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bookmarkStart w:id="1129" w:name=".amt.2175"/>
            <w:bookmarkStart w:id="1130" w:name=".amt.2176"/>
            <w:bookmarkEnd w:id="1129"/>
            <w:bookmarkEnd w:id="1130"/>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31,544,934</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bookmarkStart w:id="1131" w:name=".amt.3175"/>
            <w:bookmarkStart w:id="1132" w:name=".amt.3176"/>
            <w:bookmarkEnd w:id="1131"/>
            <w:bookmarkEnd w:id="1132"/>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24,061,803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133" w:name=".amt.4115"/>
            <w:bookmarkStart w:id="1134" w:name=".amt.4116"/>
            <w:bookmarkEnd w:id="1133"/>
            <w:bookmarkEnd w:id="1134"/>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31,464,810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135" w:name=".amt.5115"/>
            <w:bookmarkStart w:id="1136" w:name=".amt.5116"/>
            <w:bookmarkEnd w:id="1135"/>
            <w:bookmarkEnd w:id="1136"/>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22,661,951</w:t>
            </w:r>
          </w:p>
        </w:tc>
        <w:tc>
          <w:tcPr>
            <w:tcW w:w="88"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144" w:hanging="0"/>
        <w:jc w:val="left"/>
        <w:rPr/>
      </w:pPr>
      <w:r>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ind w:left="0" w:right="0" w:hanging="0"/>
              <w:jc w:val="left"/>
              <w:rPr>
                <w:rFonts w:ascii="Times New Roman" w:hAnsi="Times New Roman"/>
                <w:caps w:val="false"/>
                <w:smallCaps w:val="false"/>
                <w:position w:val="7"/>
                <w:sz w:val="16"/>
                <w:sz w:val="20"/>
              </w:rPr>
            </w:pPr>
            <w:r>
              <w:rPr>
                <w:rFonts w:ascii="Times New Roman" w:hAnsi="Times New Roman"/>
                <w:caps w:val="false"/>
                <w:smallCaps w:val="false"/>
                <w:position w:val="7"/>
                <w:sz w:val="16"/>
                <w:sz w:val="20"/>
              </w:rPr>
              <w:t>(1)</w:t>
            </w:r>
          </w:p>
        </w:tc>
        <w:tc>
          <w:tcPr>
            <w:tcW w:w="10029" w:type="dxa"/>
            <w:tcBorders/>
            <w:vAlign w:val="center"/>
          </w:tcPr>
          <w:p>
            <w:pPr>
              <w:pStyle w:val="TableContents"/>
              <w:bidi w:val="0"/>
              <w:spacing w:before="0" w:after="283"/>
              <w:jc w:val="both"/>
              <w:rPr/>
            </w:pPr>
            <w:r>
              <w:rPr/>
              <w:t>Balance includes gain on the conveyance of the membership interest of Winopoly in January 2026 of $2,352. Balance also includes a $698 write-off of intangibles and related expenses related to the write-off of TAPP Influencers Corp. in May 2025. Additionally, the balance includes compensation expense related to non-compete agreements and earn-out expenses incurred as a result of business combinations. The earn-out expense was </w:t>
            </w:r>
            <w:bookmarkStart w:id="1137" w:name="led17422F202562217532087369481"/>
            <w:bookmarkEnd w:id="1137"/>
            <w:r>
              <w:rPr/>
              <w:t>$0 and </w:t>
            </w:r>
            <w:bookmarkStart w:id="1138" w:name="led17422F202562217532087488591"/>
            <w:bookmarkEnd w:id="1138"/>
            <w:r>
              <w:rPr/>
              <w:t>($9) for the three months ended </w:t>
            </w:r>
            <w:bookmarkStart w:id="1139" w:name="led17399F202452417192385307287"/>
            <w:bookmarkEnd w:id="1139"/>
            <w:r>
              <w:rPr/>
              <w:t>June 30, 2026 and 2025, respectively, and </w:t>
            </w:r>
            <w:bookmarkStart w:id="1140" w:name="led28616F2026072717851695390881"/>
            <w:bookmarkEnd w:id="1140"/>
            <w:r>
              <w:rPr/>
              <w:t>$0 and </w:t>
            </w:r>
            <w:bookmarkStart w:id="1141" w:name="led28616F2026072717851695551041"/>
            <w:bookmarkEnd w:id="1141"/>
            <w:r>
              <w:rPr/>
              <w:t>($128) for the six months ended </w:t>
            </w:r>
            <w:bookmarkStart w:id="1142" w:name="led17399F202452417192385307286"/>
            <w:bookmarkEnd w:id="1142"/>
            <w:r>
              <w:rPr/>
              <w:t>June 30, 2026 and 2025, respectively, while the non-compete agreements expense was </w:t>
            </w:r>
            <w:bookmarkStart w:id="1143" w:name="led17422F202571417552049912151"/>
            <w:bookmarkEnd w:id="1143"/>
            <w:r>
              <w:rPr/>
              <w:t>$0 and </w:t>
            </w:r>
            <w:bookmarkStart w:id="1144" w:name="led17422F202571417552050041391"/>
            <w:bookmarkEnd w:id="1144"/>
            <w:r>
              <w:rPr/>
              <w:t>$412 for the three months ended </w:t>
            </w:r>
            <w:bookmarkStart w:id="1145" w:name="led17399F202452417192385307285"/>
            <w:bookmarkEnd w:id="1145"/>
            <w:r>
              <w:rPr/>
              <w:t>June 30, 2026 and 2025, respectively, and </w:t>
            </w:r>
            <w:bookmarkStart w:id="1146" w:name="led28616F2026072717851695962071"/>
            <w:bookmarkEnd w:id="1146"/>
            <w:r>
              <w:rPr/>
              <w:t>$0 and </w:t>
            </w:r>
            <w:bookmarkStart w:id="1147" w:name="led28616F2026072717851696018161"/>
            <w:bookmarkEnd w:id="1147"/>
            <w:r>
              <w:rPr/>
              <w:t>$412 for the six months ended </w:t>
            </w:r>
            <w:bookmarkStart w:id="1148" w:name="led17399F202452417192385307284"/>
            <w:bookmarkEnd w:id="1148"/>
            <w:r>
              <w:rPr/>
              <w:t>June 30, 2026 and 2025, respectively.</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0"/>
              <w:ind w:left="0" w:right="0" w:hanging="0"/>
              <w:jc w:val="left"/>
              <w:rPr>
                <w:rFonts w:ascii="Times New Roman" w:hAnsi="Times New Roman"/>
                <w:position w:val="7"/>
                <w:sz w:val="16"/>
                <w:sz w:val="20"/>
              </w:rPr>
            </w:pPr>
            <w:r>
              <w:rPr>
                <w:rFonts w:ascii="Times New Roman" w:hAnsi="Times New Roman"/>
                <w:position w:val="7"/>
                <w:sz w:val="16"/>
                <w:sz w:val="20"/>
              </w:rPr>
              <w:t>(2)</w:t>
            </w:r>
          </w:p>
        </w:tc>
        <w:tc>
          <w:tcPr>
            <w:tcW w:w="9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Includes a one-time non-media revenue adjustment of ($156) in connection to a settlement with a media partner.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present media margin, adjusted EBITDA, and adjusted net income as supplemental measures of our financial and operating performance because we believe they provide useful information to investors. More specifically:</w:t>
      </w:r>
    </w:p>
    <w:p>
      <w:pPr>
        <w:pStyle w:val="TextBody"/>
        <w:bidi w:val="0"/>
        <w:spacing w:before="0" w:after="0"/>
        <w:ind w:left="294" w:right="294" w:hanging="180"/>
        <w:jc w:val="left"/>
        <w:rPr/>
      </w:pPr>
      <w:r>
        <w:rPr/>
        <w:t> </w:t>
      </w:r>
    </w:p>
    <w:p>
      <w:pPr>
        <w:pStyle w:val="TextBody"/>
        <w:bidi w:val="0"/>
        <w:spacing w:before="0" w:after="0"/>
        <w:ind w:left="520" w:right="0" w:hanging="0"/>
        <w:jc w:val="both"/>
        <w:rPr>
          <w:rFonts w:ascii="Times New Roman" w:hAnsi="Times New Roman"/>
          <w:caps w:val="false"/>
          <w:smallCaps w:val="false"/>
          <w:sz w:val="20"/>
        </w:rPr>
      </w:pPr>
      <w:r>
        <w:rPr>
          <w:rFonts w:ascii="Times New Roman" w:hAnsi="Times New Roman"/>
          <w:caps w:val="false"/>
          <w:smallCaps w:val="false"/>
          <w:sz w:val="20"/>
        </w:rPr>
        <w:t>Media margin, as defined above, is a measure of the efficiency of the Company's operating model. We use media margin and the related measure of media margin as a percentage of revenue as primary metrics to measure the financial return on our media and related costs, specifically to measure the degree by which the revenue generated from our digital marketing services exceeds the cost to attract the consumers to whom offers are made through our services. Media margin is used extensively by our management to manage our consolidated operating performance, including evaluating operational performance against budgeted media margin and understanding the efficiency of our media and related expenditures. We also use media margin for performance evaluations and compensation decisions regarding certain personnel.</w:t>
      </w:r>
    </w:p>
    <w:p>
      <w:pPr>
        <w:pStyle w:val="TextBody"/>
        <w:bidi w:val="0"/>
        <w:spacing w:before="0" w:after="0"/>
        <w:ind w:left="489" w:right="294" w:hanging="0"/>
        <w:jc w:val="left"/>
        <w:rPr/>
      </w:pPr>
      <w:r>
        <w:rPr/>
        <w:t> </w:t>
      </w:r>
    </w:p>
    <w:p>
      <w:pPr>
        <w:pStyle w:val="TextBody"/>
        <w:bidi w:val="0"/>
        <w:spacing w:before="0" w:after="0"/>
        <w:ind w:left="520" w:right="0" w:hanging="0"/>
        <w:jc w:val="both"/>
        <w:rPr>
          <w:rFonts w:ascii="Times New Roman" w:hAnsi="Times New Roman"/>
          <w:caps w:val="false"/>
          <w:smallCaps w:val="false"/>
          <w:sz w:val="20"/>
        </w:rPr>
      </w:pPr>
      <w:r>
        <w:rPr>
          <w:rFonts w:ascii="Times New Roman" w:hAnsi="Times New Roman"/>
          <w:caps w:val="false"/>
          <w:smallCaps w:val="false"/>
          <w:sz w:val="20"/>
        </w:rPr>
        <w:t>Adjusted EBITDA, as defined above, is another primary metric by which we evaluate the operating performance of our business, on which certain operating expenditures and internal budgets are based and by which, in addition to media margin and other factors, our senior management is compensated. The first three adjustments represent the conventional definition of EBITDA, and the remaining adjustments are items recognized and recorded under U.S. GAAP in particular periods but might be viewed as not necessarily coinciding with the underlying business operations for the periods in which they are so recognized and recorded. These adjustments include certain litigation and other related costs associated with legal matters outside the ordinary course of business.</w:t>
      </w:r>
    </w:p>
    <w:p>
      <w:pPr>
        <w:pStyle w:val="TextBody"/>
        <w:bidi w:val="0"/>
        <w:spacing w:before="0" w:after="0"/>
        <w:ind w:left="340" w:right="0" w:hanging="0"/>
        <w:jc w:val="left"/>
        <w:rPr>
          <w:caps w:val="false"/>
          <w:smallCaps w:val="false"/>
        </w:rPr>
      </w:pPr>
      <w:r>
        <w:rPr>
          <w:caps w:val="false"/>
          <w:smallCaps w:val="false"/>
        </w:rPr>
        <w:t> </w:t>
      </w:r>
    </w:p>
    <w:p>
      <w:pPr>
        <w:pStyle w:val="TextBody"/>
        <w:bidi w:val="0"/>
        <w:spacing w:before="0" w:after="0"/>
        <w:ind w:left="520" w:right="0" w:hanging="0"/>
        <w:jc w:val="both"/>
        <w:rPr>
          <w:rFonts w:ascii="Times New Roman" w:hAnsi="Times New Roman"/>
          <w:caps w:val="false"/>
          <w:smallCaps w:val="false"/>
          <w:sz w:val="20"/>
        </w:rPr>
      </w:pPr>
      <w:r>
        <w:rPr>
          <w:rFonts w:ascii="Times New Roman" w:hAnsi="Times New Roman"/>
          <w:caps w:val="false"/>
          <w:smallCaps w:val="false"/>
          <w:sz w:val="20"/>
        </w:rPr>
        <w:t>Adjusted net income (loss), as defined above, and the related measure of adjusted net income (loss) per share exclude certain items that are recognized and recorded under U.S.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U.S. GAAP measure of net income (loss).</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Media margin, adjusted EBITDA, adjusted net income, and adjusted net income per share are non-GAAP financial measures with certain limitations regarding their usefulness. They do not reflect our financial results in accordance with U.S. GAAP, as they do not include the impact of certain expenses that are reflected in our condensed consolidated statements of operations. Accordingly, these metrics are not indicative of our overall results or indicators of past or future financial performance. Further, they are not financial measures of profitability and are neither intended to be used as a proxy for the profitability of our business nor to imply profitability. The way we measure media margin, adjusted EBITDA, and adjusted net income may not be comparable to similarly titled measures presented by other companies and may not be identical to corresponding measures used in our various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Annual Revenue Run Rate</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Annual Revenue Run Rate is an operational metric that represents the annualized revenue of the Company’s media partnerships at current monetization levels, as of the end of the reporting period. The Company calculates Annual Revenue Run Rate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Media partners within Commerce Media Solutions with an active contract are assessed and assigned an annual media volume estimate based on the active term of the contract and the average monetization rate during the reporting period. The Company considers a media partner contract to be active when the contractual term commences (the "start date") until its right to serve the partner’s commerce traffic ends. Even if the contract with the customer is executed before the start date, the contract will not count toward Annual Revenue Run Rate until the media partner’s right to receive the benefit of the services has commenced.</w:t>
            </w:r>
          </w:p>
        </w:tc>
      </w:tr>
      <w:tr>
        <w:trPr/>
        <w:tc>
          <w:tcPr>
            <w:tcW w:w="1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Annual Revenue Run Rate includes only contracts that are active at the end of the reporting period, it does not reflect assumptions or estimates regarding new business. For contracts expiring within 12 months of the period-end calculation date, Annual Revenue Run Rate does reflect expectations of renewal.</w:t>
            </w:r>
          </w:p>
        </w:tc>
      </w:tr>
      <w:tr>
        <w:trPr/>
        <w:tc>
          <w:tcPr>
            <w:tcW w:w="1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Commerce Media Solutions platform provides the technology to effectively monetize the partner’s media by placing relevant ads at a contracted moment of consumer engagement. Although from inception to date, improvements in the platform’s AI-powered technology have consistently driven increased rates of monetization, for the purpose of Annual Revenue Run Rate, the Company assumes a consistent monetization level equal to the average monetization for each media partner during the reporting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way the Company measures Annual Revenue Run Rate may not be comparable to similarly titled measures presented by other companies and should not be viewed as a projection of future revenue.</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b/>
          <w:sz w:val="20"/>
        </w:rPr>
        <w:t>Contact Information: </w:t>
      </w:r>
      <w:r>
        <w:rPr>
          <w:rFonts w:ascii="Times New Roman;Times;serif" w:hAnsi="Times New Roman;Times;serif"/>
          <w:sz w:val="20"/>
        </w:rPr>
        <w:t xml:space="preserve"> </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Investor Relations</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Fluent, Inc.</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sz w:val="20"/>
        </w:rPr>
        <w:t>InvestorRelations@fluentco.com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5250</Words>
  <Characters>28635</Characters>
  <CharactersWithSpaces>34291</CharactersWithSpaces>
  <Paragraphs>2132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