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GEYGAN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5"/>
        <w:gridCol w:w="932"/>
        <w:gridCol w:w="801"/>
        <w:gridCol w:w="618"/>
        <w:gridCol w:w="341"/>
        <w:gridCol w:w="911"/>
        <w:gridCol w:w="415"/>
        <w:gridCol w:w="700"/>
        <w:gridCol w:w="1252"/>
        <w:gridCol w:w="965"/>
        <w:gridCol w:w="136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3,126,899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(2)(8)</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3,126,399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(2)(8)</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3,126,397</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(2)(8)</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3,125,732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(2)(8)</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w:t>
            </w: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3,125,584</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(2)(8)</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12,376</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w:t>
            </w:r>
            <w:r>
              <w:rPr>
                <w:rFonts w:ascii="Times;serif" w:hAnsi="Times;serif"/>
                <w:color w:val="008000"/>
                <w:position w:val="7"/>
                <w:sz w:val="16"/>
                <w:sz w:val="20"/>
                <w:shd w:fill="FFFFFF" w:val="clear"/>
              </w:rPr>
              <w:t>(5)</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3,137,960</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(2)(8)</w:t>
            </w:r>
          </w:p>
        </w:tc>
      </w:tr>
      <w:tr>
        <w:trPr/>
        <w:tc>
          <w:tcPr>
            <w:tcW w:w="1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3,137,825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Global Value Investment Corporation</w:t>
            </w:r>
            <w:r>
              <w:rPr>
                <w:rFonts w:ascii="Times;serif" w:hAnsi="Times;serif"/>
                <w:color w:val="008000"/>
                <w:position w:val="7"/>
                <w:sz w:val="16"/>
                <w:sz w:val="20"/>
                <w:shd w:fill="FFFFFF" w:val="clear"/>
              </w:rPr>
              <w:t>(2)(8)</w:t>
            </w:r>
          </w:p>
        </w:tc>
      </w:tr>
      <w:tr>
        <w:trPr/>
        <w:tc>
          <w:tcPr>
            <w:tcW w:w="1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101,052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3"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00"/>
        <w:gridCol w:w="401"/>
        <w:gridCol w:w="906"/>
        <w:gridCol w:w="801"/>
        <w:gridCol w:w="891"/>
        <w:gridCol w:w="801"/>
        <w:gridCol w:w="801"/>
        <w:gridCol w:w="936"/>
        <w:gridCol w:w="831"/>
        <w:gridCol w:w="1206"/>
      </w:tblGrid>
      <w:tr>
        <w:trPr>
          <w:tblHeader w:val="true"/>
        </w:trPr>
        <w:tc>
          <w:tcPr>
            <w:tcW w:w="122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67,059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Global Value Investment Corporation</w:t>
            </w:r>
            <w:r>
              <w:rPr>
                <w:rFonts w:ascii="Times;serif" w:hAnsi="Times;serif"/>
                <w:color w:val="008000"/>
                <w:position w:val="7"/>
                <w:sz w:val="16"/>
                <w:sz w:val="20"/>
                <w:shd w:fill="FFFFFF" w:val="clear"/>
              </w:rPr>
              <w:t>(2)(8)</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sale price. The Reporting Person undertakes to provide to the staff, the issuer, or a security holder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in one or more accounts managed indirectly by Global Value Investment Corporation or its subsidiary or its affiliated persons/entities (collectively, "GVIC"). GVIC may be deemed to have beneficial ownership of these securities because it serves as the investment manager and/or investment advisor to separately managed accounts, investment partnerships, and/or individuals. The reporting person disclaims beneficial ownership in the securities except to the extent of his pecuniary interest, if any, and this report shall not be deemed to be an admission that the reporting person is the beneficial owner of such securities for the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are exercisable following stockholder approval of the offering of the Warrants on June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Warrants will expire three years from the date of issuance.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represents a weighted average purchase price. The Reporting Person undertakes to provide to the staff, the issuer, or a security holder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As of September 16, 2026, certain separately managed accounts terminated their relationship with, and are no longer advised by, Global Value Investment Corporation. The positions held in such accounts are therefore no longer included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GVIC executed unsolicited trades in a client account, at the sole direction of the account owner, for the purpose of a partial account liquidation.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disclaims beneficial ownership in the securities except to the extent of his pecuniary interest, if any, and this report shall not be deemed to be an admission that the reporting person is the beneficial owner of such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 Geygan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4726"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5551</Characters>
  <CharactersWithSpaces>6420</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